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E0084A">
        <w:rPr>
          <w:rFonts w:ascii="Arial" w:eastAsia="Times New Roman" w:hAnsi="Arial" w:cs="Arial"/>
          <w:sz w:val="20"/>
          <w:szCs w:val="20"/>
          <w:lang w:eastAsia="es-ES"/>
        </w:rPr>
        <w:t>31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E0084A">
        <w:rPr>
          <w:rFonts w:ascii="Arial" w:eastAsia="Times New Roman" w:hAnsi="Arial" w:cs="Arial"/>
          <w:sz w:val="20"/>
          <w:szCs w:val="20"/>
          <w:lang w:eastAsia="es-ES"/>
        </w:rPr>
        <w:t>diciembre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>de 2019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E0084A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$44,141.58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9029C2" w:rsidRPr="00FE127F" w:rsidTr="00612D2B">
        <w:tc>
          <w:tcPr>
            <w:tcW w:w="2933" w:type="dxa"/>
          </w:tcPr>
          <w:p w:rsidR="009029C2" w:rsidRPr="00FE127F" w:rsidRDefault="005769C5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9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1112-1-03-01</w:t>
            </w:r>
          </w:p>
        </w:tc>
        <w:tc>
          <w:tcPr>
            <w:tcW w:w="2429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09000821608</w:t>
            </w:r>
          </w:p>
        </w:tc>
        <w:tc>
          <w:tcPr>
            <w:tcW w:w="1733" w:type="dxa"/>
          </w:tcPr>
          <w:p w:rsidR="009029C2" w:rsidRDefault="00E0084A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$44,141.58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669E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663B60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0D664D">
        <w:rPr>
          <w:rFonts w:ascii="Arial" w:eastAsia="Times New Roman" w:hAnsi="Arial" w:cs="Arial"/>
          <w:sz w:val="20"/>
          <w:szCs w:val="20"/>
          <w:lang w:eastAsia="es-ES"/>
        </w:rPr>
        <w:t>diciembre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 xml:space="preserve"> 2019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687E2E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 xml:space="preserve"> ventas de pescado por cuaresma</w:t>
      </w:r>
      <w:r w:rsidR="00687E2E">
        <w:rPr>
          <w:rFonts w:ascii="Arial" w:eastAsia="Times New Roman" w:hAnsi="Arial" w:cs="Arial"/>
          <w:sz w:val="20"/>
          <w:szCs w:val="20"/>
          <w:lang w:eastAsia="es-ES"/>
        </w:rPr>
        <w:t xml:space="preserve"> y por ventas de playeras para recaudar fondos para el teletón 2019.</w:t>
      </w:r>
    </w:p>
    <w:p w:rsidR="009F4490" w:rsidRDefault="009F4490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0042" w:rsidRDefault="00830042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914F5" w:rsidRPr="00830042" w:rsidRDefault="007F7600" w:rsidP="0083004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0D664D">
        <w:rPr>
          <w:rFonts w:ascii="Arial" w:hAnsi="Arial" w:cs="Arial"/>
          <w:sz w:val="20"/>
          <w:szCs w:val="20"/>
        </w:rPr>
        <w:t>l 31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0D664D">
        <w:rPr>
          <w:rFonts w:ascii="Arial" w:hAnsi="Arial" w:cs="Arial"/>
          <w:sz w:val="20"/>
          <w:szCs w:val="20"/>
        </w:rPr>
        <w:t>diciembre</w:t>
      </w:r>
      <w:r w:rsidR="00BC54FB">
        <w:rPr>
          <w:rFonts w:ascii="Arial" w:hAnsi="Arial" w:cs="Arial"/>
          <w:sz w:val="20"/>
          <w:szCs w:val="20"/>
        </w:rPr>
        <w:t xml:space="preserve"> 201</w:t>
      </w:r>
      <w:r w:rsidR="0055669E">
        <w:rPr>
          <w:rFonts w:ascii="Arial" w:hAnsi="Arial" w:cs="Arial"/>
          <w:sz w:val="20"/>
          <w:szCs w:val="20"/>
        </w:rPr>
        <w:t>9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0D664D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2019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597BB9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4CC7">
              <w:rPr>
                <w:rFonts w:ascii="Arial" w:hAnsi="Arial" w:cs="Arial"/>
                <w:sz w:val="20"/>
                <w:szCs w:val="20"/>
              </w:rPr>
              <w:t>25,769.3</w:t>
            </w:r>
            <w:r w:rsidR="005A15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3C5672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2019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0E4CC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4CC7">
              <w:rPr>
                <w:rFonts w:ascii="Arial" w:hAnsi="Arial" w:cs="Arial"/>
                <w:sz w:val="20"/>
                <w:szCs w:val="20"/>
              </w:rPr>
              <w:t>225,769.37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94"/>
        <w:gridCol w:w="2933"/>
        <w:gridCol w:w="1238"/>
        <w:gridCol w:w="1418"/>
        <w:gridCol w:w="2126"/>
      </w:tblGrid>
      <w:tr w:rsidR="006E2ECC" w:rsidRPr="00FE127F" w:rsidTr="00270887">
        <w:tc>
          <w:tcPr>
            <w:tcW w:w="1494" w:type="dxa"/>
          </w:tcPr>
          <w:p w:rsidR="006E2ECC" w:rsidRPr="00DE61CA" w:rsidRDefault="006E2ECC" w:rsidP="00B1097E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E61CA">
              <w:rPr>
                <w:rFonts w:ascii="Arial" w:hAnsi="Arial" w:cs="Arial"/>
                <w:b/>
                <w:sz w:val="18"/>
                <w:szCs w:val="20"/>
              </w:rPr>
              <w:t>CUENTA</w:t>
            </w:r>
          </w:p>
        </w:tc>
        <w:tc>
          <w:tcPr>
            <w:tcW w:w="2933" w:type="dxa"/>
          </w:tcPr>
          <w:p w:rsidR="006E2ECC" w:rsidRPr="00DE61CA" w:rsidRDefault="006E2ECC" w:rsidP="00B1097E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E61CA">
              <w:rPr>
                <w:rFonts w:ascii="Arial" w:hAnsi="Arial" w:cs="Arial"/>
                <w:b/>
                <w:sz w:val="18"/>
                <w:szCs w:val="20"/>
              </w:rPr>
              <w:t>NOMBRE DE LA CUENTA</w:t>
            </w:r>
          </w:p>
        </w:tc>
        <w:tc>
          <w:tcPr>
            <w:tcW w:w="1238" w:type="dxa"/>
          </w:tcPr>
          <w:p w:rsidR="006E2ECC" w:rsidRPr="00DE61CA" w:rsidRDefault="006E2ECC" w:rsidP="00B1097E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E61CA">
              <w:rPr>
                <w:rFonts w:ascii="Arial" w:hAnsi="Arial" w:cs="Arial"/>
                <w:b/>
                <w:sz w:val="18"/>
                <w:szCs w:val="20"/>
              </w:rPr>
              <w:t>PARCIAL</w:t>
            </w:r>
          </w:p>
        </w:tc>
        <w:tc>
          <w:tcPr>
            <w:tcW w:w="1418" w:type="dxa"/>
          </w:tcPr>
          <w:p w:rsidR="006E2ECC" w:rsidRPr="00DE61CA" w:rsidRDefault="00DE61CA" w:rsidP="00B1097E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E61CA">
              <w:rPr>
                <w:rFonts w:ascii="Arial" w:hAnsi="Arial" w:cs="Arial"/>
                <w:b/>
                <w:sz w:val="18"/>
                <w:szCs w:val="20"/>
              </w:rPr>
              <w:t>MONTO 2019</w:t>
            </w:r>
          </w:p>
        </w:tc>
        <w:tc>
          <w:tcPr>
            <w:tcW w:w="2126" w:type="dxa"/>
          </w:tcPr>
          <w:p w:rsidR="006E2ECC" w:rsidRPr="00DE61CA" w:rsidRDefault="006E2ECC" w:rsidP="00B1097E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E2ECC" w:rsidRPr="00FE127F" w:rsidTr="00270887">
        <w:tc>
          <w:tcPr>
            <w:tcW w:w="1494" w:type="dxa"/>
          </w:tcPr>
          <w:p w:rsidR="006E2ECC" w:rsidRPr="006E2ECC" w:rsidRDefault="006E2ECC" w:rsidP="006E2E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1131-1</w:t>
            </w:r>
          </w:p>
        </w:tc>
        <w:tc>
          <w:tcPr>
            <w:tcW w:w="2933" w:type="dxa"/>
          </w:tcPr>
          <w:p w:rsidR="006E2ECC" w:rsidRPr="006E2ECC" w:rsidRDefault="006E2ECC" w:rsidP="006E2E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Anticipo a proveedores por adquisición de bienes a corto plazo </w:t>
            </w:r>
          </w:p>
        </w:tc>
        <w:tc>
          <w:tcPr>
            <w:tcW w:w="1238" w:type="dxa"/>
          </w:tcPr>
          <w:p w:rsidR="006E2ECC" w:rsidRPr="006E2ECC" w:rsidRDefault="006E2ECC" w:rsidP="006E2EC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2ECC" w:rsidRPr="006E2ECC" w:rsidRDefault="006E2ECC" w:rsidP="006E2E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$2,500.00</w:t>
            </w:r>
          </w:p>
        </w:tc>
        <w:tc>
          <w:tcPr>
            <w:tcW w:w="2126" w:type="dxa"/>
          </w:tcPr>
          <w:p w:rsidR="006E2ECC" w:rsidRPr="00DE61CA" w:rsidRDefault="006E2ECC" w:rsidP="005815E6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6E2ECC" w:rsidRPr="00FE127F" w:rsidTr="00270887">
        <w:trPr>
          <w:trHeight w:val="1072"/>
        </w:trPr>
        <w:tc>
          <w:tcPr>
            <w:tcW w:w="1494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1131-1-02</w:t>
            </w:r>
          </w:p>
        </w:tc>
        <w:tc>
          <w:tcPr>
            <w:tcW w:w="2933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Felipe Octavio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</w:t>
            </w:r>
          </w:p>
        </w:tc>
        <w:tc>
          <w:tcPr>
            <w:tcW w:w="1238" w:type="dxa"/>
          </w:tcPr>
          <w:p w:rsidR="006E2ECC" w:rsidRPr="00FE127F" w:rsidRDefault="006E2ECC" w:rsidP="006E2E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  <w:tc>
          <w:tcPr>
            <w:tcW w:w="1418" w:type="dxa"/>
          </w:tcPr>
          <w:p w:rsidR="006E2ECC" w:rsidRPr="006E2ECC" w:rsidRDefault="006E2ECC" w:rsidP="006E2E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0C33" w:rsidRDefault="005815E6" w:rsidP="005815E6">
            <w:pPr>
              <w:spacing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DE61CA">
              <w:rPr>
                <w:rFonts w:ascii="Arial" w:hAnsi="Arial" w:cs="Arial"/>
                <w:sz w:val="14"/>
                <w:szCs w:val="20"/>
              </w:rPr>
              <w:t>Representa el importe pagado</w:t>
            </w:r>
            <w:r w:rsidR="003226AA">
              <w:rPr>
                <w:rFonts w:ascii="Arial" w:hAnsi="Arial" w:cs="Arial"/>
                <w:sz w:val="14"/>
                <w:szCs w:val="20"/>
              </w:rPr>
              <w:t xml:space="preserve"> al proveedor</w:t>
            </w:r>
            <w:r w:rsidR="0027088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DE61CA">
              <w:rPr>
                <w:rFonts w:ascii="Arial" w:hAnsi="Arial" w:cs="Arial"/>
                <w:sz w:val="14"/>
                <w:szCs w:val="20"/>
              </w:rPr>
              <w:t>por un bien</w:t>
            </w:r>
            <w:r w:rsidR="00131066" w:rsidRPr="00DE61CA">
              <w:rPr>
                <w:rFonts w:ascii="Arial" w:hAnsi="Arial" w:cs="Arial"/>
                <w:sz w:val="14"/>
                <w:szCs w:val="20"/>
              </w:rPr>
              <w:t>,</w:t>
            </w:r>
            <w:r w:rsidRPr="00DE61CA">
              <w:rPr>
                <w:rFonts w:ascii="Arial" w:hAnsi="Arial" w:cs="Arial"/>
                <w:sz w:val="14"/>
                <w:szCs w:val="20"/>
              </w:rPr>
              <w:t xml:space="preserve"> el cual se terminara de </w:t>
            </w:r>
            <w:r w:rsidR="00AC0C33">
              <w:rPr>
                <w:rFonts w:ascii="Arial" w:hAnsi="Arial" w:cs="Arial"/>
                <w:sz w:val="14"/>
                <w:szCs w:val="20"/>
              </w:rPr>
              <w:t>saldar</w:t>
            </w:r>
            <w:r w:rsidRPr="00DE61CA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31066" w:rsidRPr="00DE61CA">
              <w:rPr>
                <w:rFonts w:ascii="Arial" w:hAnsi="Arial" w:cs="Arial"/>
                <w:sz w:val="14"/>
                <w:szCs w:val="20"/>
              </w:rPr>
              <w:t>apenas se</w:t>
            </w:r>
            <w:r w:rsidRPr="00DE61CA">
              <w:rPr>
                <w:rFonts w:ascii="Arial" w:hAnsi="Arial" w:cs="Arial"/>
                <w:sz w:val="14"/>
                <w:szCs w:val="20"/>
              </w:rPr>
              <w:t xml:space="preserve"> cuente</w:t>
            </w:r>
            <w:r w:rsidR="00131066" w:rsidRPr="00DE61CA">
              <w:rPr>
                <w:rFonts w:ascii="Arial" w:hAnsi="Arial" w:cs="Arial"/>
                <w:sz w:val="14"/>
                <w:szCs w:val="20"/>
              </w:rPr>
              <w:t xml:space="preserve"> con el recurso.</w:t>
            </w:r>
          </w:p>
          <w:p w:rsidR="00270887" w:rsidRPr="00270887" w:rsidRDefault="00AC0C33" w:rsidP="00270887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70887">
              <w:rPr>
                <w:rFonts w:ascii="Arial" w:hAnsi="Arial" w:cs="Arial"/>
                <w:b/>
                <w:sz w:val="10"/>
                <w:szCs w:val="10"/>
              </w:rPr>
              <w:t>DATOS</w:t>
            </w:r>
          </w:p>
          <w:p w:rsidR="00AC0C33" w:rsidRPr="00AC0C33" w:rsidRDefault="00270887" w:rsidP="005815E6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CONCEPTO</w:t>
            </w:r>
            <w:r w:rsidR="00AC0C33">
              <w:rPr>
                <w:rFonts w:ascii="Arial" w:hAnsi="Arial" w:cs="Arial"/>
                <w:sz w:val="10"/>
                <w:szCs w:val="10"/>
              </w:rPr>
              <w:t>:</w:t>
            </w:r>
            <w:r>
              <w:rPr>
                <w:rFonts w:ascii="Arial" w:hAnsi="Arial" w:cs="Arial"/>
                <w:sz w:val="10"/>
                <w:szCs w:val="10"/>
              </w:rPr>
              <w:t xml:space="preserve"> Equipo de internet inalámbrico </w:t>
            </w:r>
          </w:p>
          <w:p w:rsidR="00AC0C33" w:rsidRDefault="00270887" w:rsidP="005815E6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MONTO</w:t>
            </w:r>
            <w:r w:rsidRPr="00AC0C33">
              <w:rPr>
                <w:rFonts w:ascii="Arial" w:hAnsi="Arial" w:cs="Arial"/>
                <w:sz w:val="10"/>
                <w:szCs w:val="10"/>
              </w:rPr>
              <w:t xml:space="preserve">: </w:t>
            </w:r>
            <w:r w:rsidR="00AC0C33" w:rsidRPr="00AC0C33">
              <w:rPr>
                <w:rFonts w:ascii="Arial" w:hAnsi="Arial" w:cs="Arial"/>
                <w:sz w:val="10"/>
                <w:szCs w:val="10"/>
              </w:rPr>
              <w:t>$3,364.00</w:t>
            </w:r>
          </w:p>
          <w:p w:rsidR="00AC0C33" w:rsidRDefault="00270887" w:rsidP="005815E6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PAGOS REALIZADOS:</w:t>
            </w:r>
          </w:p>
          <w:p w:rsidR="00270887" w:rsidRDefault="00270887" w:rsidP="00270887">
            <w:pPr>
              <w:pStyle w:val="Prrafode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Fecha 23-09-2019 anticipo</w:t>
            </w:r>
            <w:r w:rsidR="003226AA">
              <w:rPr>
                <w:rFonts w:ascii="Arial" w:hAnsi="Arial" w:cs="Arial"/>
                <w:sz w:val="10"/>
                <w:szCs w:val="10"/>
              </w:rPr>
              <w:t xml:space="preserve"> por  $1250.00</w:t>
            </w:r>
          </w:p>
          <w:p w:rsidR="00DE61CA" w:rsidRPr="003226AA" w:rsidRDefault="003226AA" w:rsidP="005815E6">
            <w:pPr>
              <w:pStyle w:val="Prrafode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Fecha 17-10-2019 abono por $1250.00</w:t>
            </w:r>
          </w:p>
        </w:tc>
      </w:tr>
      <w:tr w:rsidR="006E2ECC" w:rsidRPr="00FE127F" w:rsidTr="00270887">
        <w:tc>
          <w:tcPr>
            <w:tcW w:w="1494" w:type="dxa"/>
          </w:tcPr>
          <w:p w:rsidR="006E2ECC" w:rsidRPr="006E2ECC" w:rsidRDefault="006E2ECC" w:rsidP="006E2E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2ECC">
              <w:rPr>
                <w:rFonts w:ascii="Arial" w:hAnsi="Arial" w:cs="Arial"/>
                <w:b/>
                <w:sz w:val="20"/>
                <w:szCs w:val="20"/>
              </w:rPr>
              <w:t>1131-2</w:t>
            </w:r>
          </w:p>
        </w:tc>
        <w:tc>
          <w:tcPr>
            <w:tcW w:w="2933" w:type="dxa"/>
          </w:tcPr>
          <w:p w:rsidR="006E2ECC" w:rsidRPr="006E2ECC" w:rsidRDefault="006E2ECC" w:rsidP="006E2E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2ECC">
              <w:rPr>
                <w:rFonts w:ascii="Arial" w:hAnsi="Arial" w:cs="Arial"/>
                <w:b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238" w:type="dxa"/>
          </w:tcPr>
          <w:p w:rsidR="006E2ECC" w:rsidRPr="006E2ECC" w:rsidRDefault="006E2ECC" w:rsidP="006E2EC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2ECC" w:rsidRPr="006E2ECC" w:rsidRDefault="006E2ECC" w:rsidP="006E2E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2ECC">
              <w:rPr>
                <w:rFonts w:ascii="Arial" w:hAnsi="Arial" w:cs="Arial"/>
                <w:b/>
                <w:sz w:val="20"/>
                <w:szCs w:val="20"/>
              </w:rPr>
              <w:t>$27,000.00</w:t>
            </w:r>
          </w:p>
        </w:tc>
        <w:tc>
          <w:tcPr>
            <w:tcW w:w="2126" w:type="dxa"/>
          </w:tcPr>
          <w:p w:rsidR="006E2ECC" w:rsidRPr="00DE61CA" w:rsidRDefault="006E2ECC" w:rsidP="005815E6">
            <w:pPr>
              <w:spacing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E2ECC" w:rsidRPr="00FE127F" w:rsidTr="00270887">
        <w:tc>
          <w:tcPr>
            <w:tcW w:w="1494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1131-2-02</w:t>
            </w:r>
          </w:p>
        </w:tc>
        <w:tc>
          <w:tcPr>
            <w:tcW w:w="2933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Federal de Electricidad</w:t>
            </w:r>
          </w:p>
        </w:tc>
        <w:tc>
          <w:tcPr>
            <w:tcW w:w="1238" w:type="dxa"/>
          </w:tcPr>
          <w:p w:rsidR="006E2ECC" w:rsidRPr="00FE127F" w:rsidRDefault="006E2ECC" w:rsidP="006E2E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1418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5DB7" w:rsidRPr="00DE61CA" w:rsidRDefault="00131066" w:rsidP="00465DB7">
            <w:pPr>
              <w:spacing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DE61CA">
              <w:rPr>
                <w:rFonts w:ascii="Arial" w:hAnsi="Arial" w:cs="Arial"/>
                <w:sz w:val="14"/>
                <w:szCs w:val="20"/>
              </w:rPr>
              <w:t xml:space="preserve">Esta cuenta se terminara de saldar al </w:t>
            </w:r>
            <w:r w:rsidR="00465DB7" w:rsidRPr="00DE61CA">
              <w:rPr>
                <w:rFonts w:ascii="Arial" w:hAnsi="Arial" w:cs="Arial"/>
                <w:sz w:val="14"/>
                <w:szCs w:val="20"/>
              </w:rPr>
              <w:t>término</w:t>
            </w:r>
            <w:r w:rsidRPr="00DE61CA">
              <w:rPr>
                <w:rFonts w:ascii="Arial" w:hAnsi="Arial" w:cs="Arial"/>
                <w:sz w:val="14"/>
                <w:szCs w:val="20"/>
              </w:rPr>
              <w:t xml:space="preserve"> de </w:t>
            </w:r>
            <w:r w:rsidR="00465DB7" w:rsidRPr="00DE61CA">
              <w:rPr>
                <w:rFonts w:ascii="Arial" w:hAnsi="Arial" w:cs="Arial"/>
                <w:sz w:val="14"/>
                <w:szCs w:val="20"/>
              </w:rPr>
              <w:t>juicio de amparo.</w:t>
            </w:r>
          </w:p>
          <w:p w:rsidR="006E2ECC" w:rsidRPr="00DE61CA" w:rsidRDefault="006E2ECC" w:rsidP="00131066">
            <w:pPr>
              <w:spacing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E2ECC" w:rsidRPr="00FE127F" w:rsidTr="00270887">
        <w:tc>
          <w:tcPr>
            <w:tcW w:w="1494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1131-2-04</w:t>
            </w:r>
          </w:p>
        </w:tc>
        <w:tc>
          <w:tcPr>
            <w:tcW w:w="2933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Susana Zetina Peniche</w:t>
            </w:r>
          </w:p>
        </w:tc>
        <w:tc>
          <w:tcPr>
            <w:tcW w:w="1238" w:type="dxa"/>
          </w:tcPr>
          <w:p w:rsidR="006E2ECC" w:rsidRDefault="006E2ECC" w:rsidP="006E2E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418" w:type="dxa"/>
          </w:tcPr>
          <w:p w:rsidR="006E2ECC" w:rsidRDefault="006E2ECC" w:rsidP="006E2E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2ECC" w:rsidRPr="00DE61CA" w:rsidRDefault="003226AA" w:rsidP="005815E6">
            <w:pPr>
              <w:spacing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Esta cuenta representa el importe pagado por un anticipo de servicio pendiente de recibir</w:t>
            </w:r>
          </w:p>
        </w:tc>
      </w:tr>
    </w:tbl>
    <w:p w:rsidR="004914F5" w:rsidRPr="00E748C9" w:rsidRDefault="004914F5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9F4490" w:rsidRPr="00E748C9" w:rsidRDefault="009F4490" w:rsidP="009F4490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F4490" w:rsidRDefault="00CF7B0A" w:rsidP="009F4490">
      <w:pPr>
        <w:pStyle w:val="Prrafodelista"/>
        <w:numPr>
          <w:ilvl w:val="0"/>
          <w:numId w:val="26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0D664D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0D664D">
        <w:rPr>
          <w:rFonts w:ascii="Arial" w:hAnsi="Arial" w:cs="Arial"/>
          <w:sz w:val="20"/>
          <w:szCs w:val="20"/>
        </w:rPr>
        <w:t>diciembre</w:t>
      </w:r>
      <w:r w:rsidR="00E23EC2" w:rsidRP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9F4490" w:rsidRPr="009F4490" w:rsidRDefault="009F4490" w:rsidP="009F4490">
      <w:pPr>
        <w:pStyle w:val="Prrafodelista"/>
        <w:spacing w:after="0" w:line="276" w:lineRule="auto"/>
        <w:ind w:left="1068"/>
        <w:rPr>
          <w:rFonts w:ascii="Arial" w:hAnsi="Arial" w:cs="Arial"/>
          <w:sz w:val="20"/>
          <w:szCs w:val="20"/>
        </w:rPr>
      </w:pPr>
    </w:p>
    <w:p w:rsidR="00D71E81" w:rsidRDefault="00CF7B0A" w:rsidP="009F4490">
      <w:pPr>
        <w:pStyle w:val="Prrafodelista"/>
        <w:numPr>
          <w:ilvl w:val="0"/>
          <w:numId w:val="2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0D664D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0D664D">
        <w:rPr>
          <w:rFonts w:ascii="Arial" w:hAnsi="Arial" w:cs="Arial"/>
          <w:sz w:val="20"/>
          <w:szCs w:val="20"/>
        </w:rPr>
        <w:t>diciembre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</w:t>
      </w:r>
      <w:r w:rsidR="00481323">
        <w:rPr>
          <w:rFonts w:ascii="Arial" w:hAnsi="Arial" w:cs="Arial"/>
          <w:sz w:val="20"/>
          <w:szCs w:val="20"/>
        </w:rPr>
        <w:t>9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Inversiones Financieras</w:t>
      </w:r>
    </w:p>
    <w:p w:rsidR="00D71E81" w:rsidRPr="009F4490" w:rsidRDefault="00CF7B0A" w:rsidP="009F4490">
      <w:pPr>
        <w:pStyle w:val="Prrafodelista"/>
        <w:numPr>
          <w:ilvl w:val="0"/>
          <w:numId w:val="2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0D664D">
        <w:rPr>
          <w:rFonts w:ascii="Arial" w:hAnsi="Arial" w:cs="Arial"/>
          <w:sz w:val="20"/>
          <w:szCs w:val="20"/>
        </w:rPr>
        <w:t>1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="000D664D">
        <w:rPr>
          <w:rFonts w:ascii="Arial" w:hAnsi="Arial" w:cs="Arial"/>
          <w:sz w:val="20"/>
          <w:szCs w:val="20"/>
        </w:rPr>
        <w:t>diciembre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481323">
        <w:rPr>
          <w:rFonts w:ascii="Arial" w:hAnsi="Arial" w:cs="Arial"/>
          <w:sz w:val="20"/>
          <w:szCs w:val="20"/>
        </w:rPr>
        <w:t>2019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9F4490" w:rsidRPr="00CF7B0A" w:rsidRDefault="009F4490" w:rsidP="009F4490">
      <w:pPr>
        <w:pStyle w:val="Prrafodelista"/>
        <w:spacing w:after="0"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CF7B0A" w:rsidRPr="00543C11" w:rsidRDefault="00543C11" w:rsidP="009F4490">
      <w:pPr>
        <w:pStyle w:val="Prrafodelista"/>
        <w:numPr>
          <w:ilvl w:val="0"/>
          <w:numId w:val="2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0D664D">
        <w:rPr>
          <w:rFonts w:ascii="Arial" w:hAnsi="Arial" w:cs="Arial"/>
          <w:sz w:val="20"/>
          <w:szCs w:val="20"/>
        </w:rPr>
        <w:t>: Al 31 de diciembre</w:t>
      </w:r>
      <w:r w:rsid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CF7B0A">
        <w:rPr>
          <w:rFonts w:ascii="Arial" w:hAnsi="Arial" w:cs="Arial"/>
          <w:sz w:val="20"/>
          <w:szCs w:val="20"/>
        </w:rPr>
        <w:t xml:space="preserve">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8D786D" w:rsidRPr="00FE127F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931D93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t>Al 3</w:t>
      </w:r>
      <w:r w:rsidR="00FD3FFB">
        <w:rPr>
          <w:rFonts w:ascii="Arial" w:hAnsi="Arial" w:cs="Arial"/>
          <w:sz w:val="20"/>
          <w:szCs w:val="20"/>
        </w:rPr>
        <w:t>1</w:t>
      </w:r>
      <w:r w:rsidR="006D0A9F">
        <w:rPr>
          <w:rFonts w:ascii="Arial" w:hAnsi="Arial" w:cs="Arial"/>
          <w:sz w:val="20"/>
          <w:szCs w:val="20"/>
        </w:rPr>
        <w:t xml:space="preserve"> de </w:t>
      </w:r>
      <w:r w:rsidR="000D664D">
        <w:rPr>
          <w:rFonts w:ascii="Arial" w:hAnsi="Arial" w:cs="Arial"/>
          <w:sz w:val="20"/>
          <w:szCs w:val="20"/>
        </w:rPr>
        <w:t>diciembre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>bienes muebles</w:t>
      </w:r>
      <w:r w:rsidR="00720453">
        <w:rPr>
          <w:rFonts w:ascii="Arial" w:hAnsi="Arial" w:cs="Arial"/>
          <w:sz w:val="20"/>
          <w:szCs w:val="20"/>
        </w:rPr>
        <w:t xml:space="preserve"> </w:t>
      </w:r>
      <w:r w:rsidR="002B1A69">
        <w:rPr>
          <w:rFonts w:ascii="Arial" w:hAnsi="Arial" w:cs="Arial"/>
          <w:sz w:val="20"/>
          <w:szCs w:val="20"/>
        </w:rPr>
        <w:t>haciende a $</w:t>
      </w:r>
      <w:r w:rsidR="002B1A69" w:rsidRPr="002B1A69">
        <w:rPr>
          <w:rFonts w:ascii="Arial" w:hAnsi="Arial" w:cs="Arial"/>
          <w:sz w:val="20"/>
          <w:szCs w:val="20"/>
        </w:rPr>
        <w:t>1, 019,688.70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p w:rsidR="0070024D" w:rsidRPr="00A6171E" w:rsidRDefault="0070024D" w:rsidP="009E54C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50AF1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474450" w:rsidRDefault="00EE56F1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154,014</w:t>
            </w:r>
            <w:r w:rsidR="00612C91"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.19</w:t>
            </w:r>
          </w:p>
        </w:tc>
        <w:tc>
          <w:tcPr>
            <w:tcW w:w="1559" w:type="dxa"/>
            <w:noWrap/>
            <w:hideMark/>
          </w:tcPr>
          <w:p w:rsidR="00671EDB" w:rsidRPr="00474450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Pr="00474450" w:rsidRDefault="009838FA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83,255.93</w:t>
            </w:r>
          </w:p>
        </w:tc>
        <w:tc>
          <w:tcPr>
            <w:tcW w:w="1134" w:type="dxa"/>
          </w:tcPr>
          <w:p w:rsidR="00671EDB" w:rsidRDefault="009838FA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70,759.16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166C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166C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1,513.50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B17C0" w:rsidRDefault="006B17C0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671EDB" w:rsidRPr="00F91C8F" w:rsidRDefault="006B17C0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502.50</w:t>
            </w:r>
          </w:p>
        </w:tc>
        <w:tc>
          <w:tcPr>
            <w:tcW w:w="1134" w:type="dxa"/>
          </w:tcPr>
          <w:p w:rsidR="00671EDB" w:rsidRPr="00F91C8F" w:rsidRDefault="006B17C0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1011.00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9838FA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134" w:type="dxa"/>
          </w:tcPr>
          <w:p w:rsidR="00671EDB" w:rsidRPr="00DE5203" w:rsidRDefault="009838FA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9838FA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6,159.00</w:t>
            </w:r>
          </w:p>
        </w:tc>
        <w:tc>
          <w:tcPr>
            <w:tcW w:w="1134" w:type="dxa"/>
          </w:tcPr>
          <w:p w:rsidR="00D91F9B" w:rsidRPr="00F91C8F" w:rsidRDefault="009838FA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11,474.00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50AF1" w:rsidRDefault="00B00136" w:rsidP="00A50AF1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1,019,688.70</w:t>
            </w:r>
          </w:p>
        </w:tc>
        <w:tc>
          <w:tcPr>
            <w:tcW w:w="1559" w:type="dxa"/>
            <w:noWrap/>
          </w:tcPr>
          <w:p w:rsidR="006F2FBA" w:rsidRPr="00A50AF1" w:rsidRDefault="0070024D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189,047.38</w:t>
            </w:r>
          </w:p>
        </w:tc>
        <w:tc>
          <w:tcPr>
            <w:tcW w:w="1559" w:type="dxa"/>
          </w:tcPr>
          <w:p w:rsidR="006F2FBA" w:rsidRPr="00A50AF1" w:rsidRDefault="006B17C0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936,420.44</w:t>
            </w:r>
          </w:p>
        </w:tc>
        <w:tc>
          <w:tcPr>
            <w:tcW w:w="1134" w:type="dxa"/>
          </w:tcPr>
          <w:p w:rsidR="006F2FBA" w:rsidRPr="00A50AF1" w:rsidRDefault="006B17C0" w:rsidP="001C0EED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 xml:space="preserve">    83,269.16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cuenta de bienes inmuebles, infraestructura y construcciones en proceso</w:t>
      </w:r>
      <w:r w:rsidR="008D786D">
        <w:rPr>
          <w:rFonts w:ascii="Arial" w:hAnsi="Arial" w:cs="Arial"/>
          <w:sz w:val="20"/>
          <w:szCs w:val="20"/>
        </w:rPr>
        <w:t xml:space="preserve"> se integra de la manera </w:t>
      </w:r>
      <w:r w:rsidR="000E3614">
        <w:rPr>
          <w:rFonts w:ascii="Arial" w:hAnsi="Arial" w:cs="Arial"/>
          <w:sz w:val="20"/>
          <w:szCs w:val="20"/>
        </w:rPr>
        <w:t>siguiente</w:t>
      </w:r>
      <w:r w:rsidR="008D786D">
        <w:rPr>
          <w:rFonts w:ascii="Arial" w:hAnsi="Arial" w:cs="Arial"/>
          <w:sz w:val="20"/>
          <w:szCs w:val="20"/>
        </w:rPr>
        <w:t>:</w:t>
      </w:r>
    </w:p>
    <w:p w:rsidR="00283B1D" w:rsidRP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59" w:type="dxa"/>
        <w:tblInd w:w="1106" w:type="dxa"/>
        <w:tblLayout w:type="fixed"/>
        <w:tblLook w:val="04A0" w:firstRow="1" w:lastRow="0" w:firstColumn="1" w:lastColumn="0" w:noHBand="0" w:noVBand="1"/>
      </w:tblPr>
      <w:tblGrid>
        <w:gridCol w:w="851"/>
        <w:gridCol w:w="2149"/>
        <w:gridCol w:w="1559"/>
      </w:tblGrid>
      <w:tr w:rsidR="00720453" w:rsidRPr="00F91C8F" w:rsidTr="00720453">
        <w:trPr>
          <w:trHeight w:val="600"/>
        </w:trPr>
        <w:tc>
          <w:tcPr>
            <w:tcW w:w="851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214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55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Importe </w:t>
            </w:r>
          </w:p>
        </w:tc>
      </w:tr>
      <w:tr w:rsidR="00720453" w:rsidRPr="00F91C8F" w:rsidTr="00720453">
        <w:trPr>
          <w:trHeight w:val="419"/>
        </w:trPr>
        <w:tc>
          <w:tcPr>
            <w:tcW w:w="851" w:type="dxa"/>
          </w:tcPr>
          <w:p w:rsidR="00720453" w:rsidRPr="00A6171E" w:rsidRDefault="00720453" w:rsidP="007204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2149" w:type="dxa"/>
          </w:tcPr>
          <w:p w:rsidR="00720453" w:rsidRPr="00A6171E" w:rsidRDefault="00720453" w:rsidP="0072045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559" w:type="dxa"/>
          </w:tcPr>
          <w:p w:rsidR="00720453" w:rsidRPr="00F91C8F" w:rsidRDefault="00720453" w:rsidP="0072045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   509,092.56</w:t>
            </w:r>
          </w:p>
        </w:tc>
      </w:tr>
      <w:tr w:rsidR="00720453" w:rsidRPr="00F91C8F" w:rsidTr="00720453">
        <w:trPr>
          <w:trHeight w:val="300"/>
        </w:trPr>
        <w:tc>
          <w:tcPr>
            <w:tcW w:w="3000" w:type="dxa"/>
            <w:gridSpan w:val="2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9" w:type="dxa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509.092.56</w:t>
            </w:r>
          </w:p>
        </w:tc>
      </w:tr>
    </w:tbl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0E1F" w:rsidRPr="00A6171E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lastRenderedPageBreak/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70024D">
        <w:rPr>
          <w:rFonts w:ascii="Arial" w:hAnsi="Arial" w:cs="Arial"/>
          <w:sz w:val="20"/>
          <w:szCs w:val="20"/>
        </w:rPr>
        <w:t>ro refleja un monto de $20,822.80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0E3614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0E3614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0E3614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0E3614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</w:tbl>
    <w:p w:rsidR="0026779F" w:rsidRDefault="0026779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</w:t>
      </w:r>
      <w:r w:rsidR="00280F18">
        <w:rPr>
          <w:rFonts w:ascii="Arial" w:hAnsi="Arial" w:cs="Arial"/>
          <w:sz w:val="20"/>
          <w:szCs w:val="20"/>
        </w:rPr>
        <w:t xml:space="preserve"> estimaci</w:t>
      </w:r>
      <w:r w:rsidR="003B17D5">
        <w:rPr>
          <w:rFonts w:ascii="Arial" w:hAnsi="Arial" w:cs="Arial"/>
          <w:sz w:val="20"/>
          <w:szCs w:val="20"/>
        </w:rPr>
        <w:t xml:space="preserve">ones y </w:t>
      </w:r>
      <w:r w:rsidR="000D664D">
        <w:rPr>
          <w:rFonts w:ascii="Arial" w:hAnsi="Arial" w:cs="Arial"/>
          <w:sz w:val="20"/>
          <w:szCs w:val="20"/>
        </w:rPr>
        <w:t>deterioros al 31 de diciembre</w:t>
      </w:r>
      <w:r w:rsidR="006C6D30">
        <w:rPr>
          <w:rFonts w:ascii="Arial" w:hAnsi="Arial" w:cs="Arial"/>
          <w:sz w:val="20"/>
          <w:szCs w:val="20"/>
        </w:rPr>
        <w:t xml:space="preserve"> 2019</w:t>
      </w:r>
      <w:r w:rsidR="008366AA">
        <w:rPr>
          <w:rFonts w:ascii="Arial" w:hAnsi="Arial" w:cs="Arial"/>
          <w:sz w:val="20"/>
          <w:szCs w:val="20"/>
        </w:rPr>
        <w:t>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0D664D">
        <w:rPr>
          <w:rFonts w:ascii="Arial" w:hAnsi="Arial" w:cs="Arial"/>
          <w:sz w:val="20"/>
          <w:szCs w:val="20"/>
        </w:rPr>
        <w:t>al 31 de diciembre</w:t>
      </w:r>
      <w:r w:rsidR="00161727">
        <w:rPr>
          <w:rFonts w:ascii="Arial" w:hAnsi="Arial" w:cs="Arial"/>
          <w:sz w:val="20"/>
          <w:szCs w:val="20"/>
        </w:rPr>
        <w:t xml:space="preserve">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630E1F" w:rsidRDefault="00630E1F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768C" w:rsidRPr="00A3361D" w:rsidRDefault="003824DF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y Documentos por P</w:t>
      </w:r>
      <w:r w:rsidRPr="00A3361D">
        <w:rPr>
          <w:rFonts w:ascii="Arial" w:hAnsi="Arial" w:cs="Arial"/>
          <w:b/>
          <w:sz w:val="20"/>
          <w:szCs w:val="20"/>
        </w:rPr>
        <w:t xml:space="preserve">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0"/>
        <w:gridCol w:w="1134"/>
        <w:gridCol w:w="1843"/>
        <w:gridCol w:w="992"/>
        <w:gridCol w:w="1418"/>
        <w:gridCol w:w="992"/>
      </w:tblGrid>
      <w:tr w:rsidR="001C17B1" w:rsidRPr="00B7483E" w:rsidTr="00BD08CB">
        <w:trPr>
          <w:trHeight w:val="283"/>
        </w:trPr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226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850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134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843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1C17B1" w:rsidRPr="00B7483E" w:rsidTr="00BD08CB">
        <w:trPr>
          <w:trHeight w:val="374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2268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850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0311B9" w:rsidRDefault="00BD08CB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843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1B9" w:rsidRPr="000311B9" w:rsidRDefault="000311B9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D08CB">
        <w:trPr>
          <w:trHeight w:val="283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2112</w:t>
            </w:r>
          </w:p>
        </w:tc>
        <w:tc>
          <w:tcPr>
            <w:tcW w:w="2268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850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0311B9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1843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D08CB">
        <w:trPr>
          <w:trHeight w:val="283"/>
        </w:trPr>
        <w:tc>
          <w:tcPr>
            <w:tcW w:w="851" w:type="dxa"/>
          </w:tcPr>
          <w:p w:rsidR="001C17B1" w:rsidRPr="001C17B1" w:rsidRDefault="001C17B1" w:rsidP="00A336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2268" w:type="dxa"/>
          </w:tcPr>
          <w:p w:rsidR="001C17B1" w:rsidRPr="00A8768C" w:rsidRDefault="001C17B1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850" w:type="dxa"/>
          </w:tcPr>
          <w:p w:rsidR="001C17B1" w:rsidRPr="00B7483E" w:rsidRDefault="001C17B1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7B1" w:rsidRPr="000311B9" w:rsidRDefault="001C17B1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C17B1" w:rsidRDefault="001C17B1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D08CB">
        <w:trPr>
          <w:trHeight w:val="283"/>
        </w:trPr>
        <w:tc>
          <w:tcPr>
            <w:tcW w:w="851" w:type="dxa"/>
          </w:tcPr>
          <w:p w:rsidR="00280F18" w:rsidRPr="00280F18" w:rsidRDefault="001C17B1" w:rsidP="00A3361D">
            <w:pPr>
              <w:rPr>
                <w:rFonts w:ascii="Arial" w:hAnsi="Arial" w:cs="Arial"/>
                <w:sz w:val="12"/>
                <w:szCs w:val="20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2268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850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80F18" w:rsidRPr="000311B9" w:rsidRDefault="00BD08CB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74,654.85</w:t>
            </w:r>
            <w:r w:rsidR="000201AB"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</w:tcPr>
          <w:p w:rsidR="00280F18" w:rsidRPr="00EB33E4" w:rsidRDefault="00BD08CB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74,654.85</w:t>
            </w:r>
            <w:r w:rsidR="000311B9" w:rsidRPr="000311B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80F18" w:rsidRPr="00EB33E4" w:rsidRDefault="000201AB" w:rsidP="00020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 cue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nta corresponde a las retenciones realizadas y se realizaran a la fecha vencimiento </w:t>
            </w:r>
            <w:r>
              <w:rPr>
                <w:rFonts w:ascii="Arial" w:hAnsi="Arial" w:cs="Arial"/>
                <w:sz w:val="16"/>
                <w:szCs w:val="20"/>
              </w:rPr>
              <w:t>de pago a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 la secretaria de administración tributaria.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D08CB">
        <w:trPr>
          <w:trHeight w:val="283"/>
        </w:trPr>
        <w:tc>
          <w:tcPr>
            <w:tcW w:w="851" w:type="dxa"/>
          </w:tcPr>
          <w:p w:rsidR="00280F18" w:rsidRPr="00280F18" w:rsidRDefault="00280F18" w:rsidP="00A3361D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80F18" w:rsidRPr="00C8038C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280F18" w:rsidRPr="000311B9" w:rsidRDefault="00BD08CB" w:rsidP="00020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$74,654.85</w:t>
            </w:r>
          </w:p>
        </w:tc>
        <w:tc>
          <w:tcPr>
            <w:tcW w:w="1843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0E1F" w:rsidRDefault="00630E1F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lastRenderedPageBreak/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709"/>
        <w:gridCol w:w="850"/>
        <w:gridCol w:w="1559"/>
        <w:gridCol w:w="1276"/>
      </w:tblGrid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184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99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70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850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55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1276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8667CF" w:rsidRPr="00B7483E" w:rsidTr="008667CF">
        <w:trPr>
          <w:trHeight w:val="451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sz w:val="16"/>
                <w:szCs w:val="16"/>
              </w:rPr>
            </w:pPr>
            <w:r w:rsidRPr="008667CF">
              <w:rPr>
                <w:rFonts w:ascii="Arial" w:hAnsi="Arial" w:cs="Arial"/>
                <w:sz w:val="16"/>
                <w:szCs w:val="16"/>
              </w:rPr>
              <w:t>2269-1-09</w:t>
            </w:r>
          </w:p>
        </w:tc>
        <w:tc>
          <w:tcPr>
            <w:tcW w:w="1842" w:type="dxa"/>
          </w:tcPr>
          <w:p w:rsidR="008667CF" w:rsidRPr="00A8768C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993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667CF" w:rsidRPr="00C8038C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Pr="00A3361D" w:rsidRDefault="008667CF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Pr="00630E1F" w:rsidRDefault="00A3361D" w:rsidP="00630E1F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630E1F" w:rsidRDefault="00630E1F" w:rsidP="00630E1F">
      <w:pPr>
        <w:pStyle w:val="Prrafodelista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361D" w:rsidRPr="00630E1F" w:rsidRDefault="00A355BB" w:rsidP="00630E1F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630E1F" w:rsidRPr="00A3361D" w:rsidRDefault="00630E1F" w:rsidP="00630E1F">
      <w:pPr>
        <w:pStyle w:val="Prrafodelista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Pr="00AB167B" w:rsidRDefault="0017274E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INGRESOS DE GESTIÓN</w:t>
      </w:r>
    </w:p>
    <w:p w:rsidR="00BD2CDB" w:rsidRPr="00AB167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B167B"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B167B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412829" w:rsidRDefault="00DB109B" w:rsidP="00BC11EC">
      <w:pPr>
        <w:spacing w:line="276" w:lineRule="auto"/>
        <w:rPr>
          <w:rFonts w:ascii="Arial" w:hAnsi="Arial" w:cs="Arial"/>
          <w:sz w:val="2"/>
          <w:szCs w:val="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412829" w:rsidTr="00DE6A16">
        <w:trPr>
          <w:trHeight w:val="41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Pr="00AB167B" w:rsidRDefault="00DE6A16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AB167B" w:rsidRDefault="00BD08CB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$22,600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FC764F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1701" w:type="dxa"/>
          </w:tcPr>
          <w:p w:rsidR="00DE7CB0" w:rsidRPr="00AB167B" w:rsidRDefault="00FC764F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300" w:type="dxa"/>
          </w:tcPr>
          <w:p w:rsidR="00DE7CB0" w:rsidRPr="00AB167B" w:rsidRDefault="009C13B4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2272" w:type="dxa"/>
          </w:tcPr>
          <w:p w:rsidR="00DE7CB0" w:rsidRPr="00AB167B" w:rsidRDefault="00BD08CB" w:rsidP="009C13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22,600.00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0841">
              <w:rPr>
                <w:rFonts w:ascii="Arial" w:hAnsi="Arial" w:cs="Arial"/>
                <w:b/>
                <w:sz w:val="20"/>
                <w:szCs w:val="20"/>
              </w:rPr>
              <w:t>3,000,000.00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BD08CB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</w:tr>
      <w:tr w:rsidR="009C13B4" w:rsidRPr="00B7483E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0841">
              <w:rPr>
                <w:rFonts w:ascii="Arial" w:hAnsi="Arial" w:cs="Arial"/>
                <w:b/>
                <w:sz w:val="20"/>
                <w:szCs w:val="20"/>
              </w:rPr>
              <w:t>3,022,600.00</w:t>
            </w:r>
          </w:p>
        </w:tc>
      </w:tr>
    </w:tbl>
    <w:p w:rsidR="00A8768C" w:rsidRDefault="000212D2" w:rsidP="00BC11EC">
      <w:pPr>
        <w:spacing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</w:t>
      </w:r>
    </w:p>
    <w:p w:rsidR="000212D2" w:rsidRPr="00AB167B" w:rsidRDefault="000212D2" w:rsidP="000212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0AC0">
        <w:rPr>
          <w:rFonts w:ascii="Arial" w:hAnsi="Arial" w:cs="Arial"/>
          <w:sz w:val="20"/>
          <w:szCs w:val="20"/>
        </w:rPr>
        <w:t>PARTICIPACIONES, APORTACIONES, CONVENIOS, INCENTIVOS DERIVADOS DE LA COLABORACIÓN FISCAL, FONDOS DISTINTOS DE APORTACIONES, TRANSFERENCIAS, ASIGNACIONES, SUBSIDIOS Y SUBVENCIONES, PENSIONES Y JUBILACIONES</w:t>
      </w:r>
    </w:p>
    <w:p w:rsidR="000212D2" w:rsidRDefault="000212D2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EB4645" w:rsidRDefault="00585DE2" w:rsidP="000212D2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212D2">
        <w:rPr>
          <w:rFonts w:ascii="Arial" w:hAnsi="Arial" w:cs="Arial"/>
          <w:b/>
          <w:sz w:val="20"/>
          <w:szCs w:val="20"/>
        </w:rPr>
        <w:t>Al 3</w:t>
      </w:r>
      <w:r w:rsidR="000D664D" w:rsidRPr="000212D2">
        <w:rPr>
          <w:rFonts w:ascii="Arial" w:hAnsi="Arial" w:cs="Arial"/>
          <w:b/>
          <w:sz w:val="20"/>
          <w:szCs w:val="20"/>
        </w:rPr>
        <w:t>1</w:t>
      </w:r>
      <w:r w:rsidR="00C0551E" w:rsidRPr="000212D2">
        <w:rPr>
          <w:rFonts w:ascii="Arial" w:hAnsi="Arial" w:cs="Arial"/>
          <w:b/>
          <w:sz w:val="20"/>
          <w:szCs w:val="20"/>
        </w:rPr>
        <w:t xml:space="preserve"> de </w:t>
      </w:r>
      <w:r w:rsidR="000D664D" w:rsidRPr="000212D2">
        <w:rPr>
          <w:rFonts w:ascii="Arial" w:hAnsi="Arial" w:cs="Arial"/>
          <w:b/>
          <w:sz w:val="20"/>
          <w:szCs w:val="20"/>
        </w:rPr>
        <w:t>diciembre</w:t>
      </w:r>
      <w:r w:rsidRPr="000212D2">
        <w:rPr>
          <w:rFonts w:ascii="Arial" w:hAnsi="Arial" w:cs="Arial"/>
          <w:b/>
          <w:sz w:val="20"/>
          <w:szCs w:val="20"/>
        </w:rPr>
        <w:t xml:space="preserve"> 201</w:t>
      </w:r>
      <w:r w:rsidR="00C0551E" w:rsidRPr="000212D2">
        <w:rPr>
          <w:rFonts w:ascii="Arial" w:hAnsi="Arial" w:cs="Arial"/>
          <w:b/>
          <w:sz w:val="20"/>
          <w:szCs w:val="20"/>
        </w:rPr>
        <w:t>9</w:t>
      </w:r>
      <w:r w:rsidR="0041248C" w:rsidRPr="000212D2">
        <w:rPr>
          <w:rFonts w:ascii="Arial" w:hAnsi="Arial" w:cs="Arial"/>
          <w:b/>
          <w:sz w:val="20"/>
          <w:szCs w:val="20"/>
        </w:rPr>
        <w:t xml:space="preserve">, </w:t>
      </w:r>
      <w:r w:rsidR="00BC11EC" w:rsidRPr="000212D2">
        <w:rPr>
          <w:rFonts w:ascii="Arial" w:hAnsi="Arial" w:cs="Arial"/>
          <w:b/>
          <w:sz w:val="20"/>
          <w:szCs w:val="20"/>
        </w:rPr>
        <w:t xml:space="preserve">El sistema DIF </w:t>
      </w:r>
      <w:r w:rsidR="003C5FB9" w:rsidRPr="000212D2">
        <w:rPr>
          <w:rFonts w:ascii="Arial" w:hAnsi="Arial" w:cs="Arial"/>
          <w:b/>
          <w:sz w:val="20"/>
          <w:szCs w:val="20"/>
        </w:rPr>
        <w:t xml:space="preserve">no </w:t>
      </w:r>
      <w:r w:rsidR="00952243" w:rsidRPr="000212D2">
        <w:rPr>
          <w:rFonts w:ascii="Arial" w:hAnsi="Arial" w:cs="Arial"/>
          <w:b/>
          <w:sz w:val="20"/>
          <w:szCs w:val="20"/>
        </w:rPr>
        <w:t xml:space="preserve">registro </w:t>
      </w:r>
      <w:r w:rsidR="003C5FB9" w:rsidRPr="000212D2">
        <w:rPr>
          <w:rFonts w:ascii="Arial" w:hAnsi="Arial" w:cs="Arial"/>
          <w:b/>
          <w:sz w:val="20"/>
          <w:szCs w:val="20"/>
        </w:rPr>
        <w:t xml:space="preserve">operaciones en la cuenta de </w:t>
      </w:r>
      <w:r w:rsidR="00BC11EC" w:rsidRPr="000212D2">
        <w:rPr>
          <w:rFonts w:ascii="Arial" w:hAnsi="Arial" w:cs="Arial"/>
          <w:b/>
          <w:sz w:val="20"/>
          <w:szCs w:val="20"/>
        </w:rPr>
        <w:t>otros ingresos.</w:t>
      </w:r>
    </w:p>
    <w:p w:rsidR="00C84F98" w:rsidRDefault="00C84F98" w:rsidP="0059190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212D2" w:rsidRPr="00C84F98" w:rsidRDefault="000212D2" w:rsidP="00C84F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1908">
        <w:rPr>
          <w:rFonts w:ascii="Arial" w:hAnsi="Arial" w:cs="Arial"/>
          <w:sz w:val="20"/>
          <w:szCs w:val="20"/>
        </w:rPr>
        <w:lastRenderedPageBreak/>
        <w:t>OTROS INGRESOS Y BENEFICIOS</w:t>
      </w: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630E1F" w:rsidRPr="0017274E" w:rsidRDefault="000D664D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1278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diciembre</w:t>
      </w:r>
      <w:r w:rsidR="001278B9">
        <w:rPr>
          <w:rFonts w:ascii="Arial" w:hAnsi="Arial" w:cs="Arial"/>
          <w:sz w:val="20"/>
          <w:szCs w:val="20"/>
        </w:rPr>
        <w:t xml:space="preserve"> 2019</w:t>
      </w:r>
      <w:r w:rsidR="00BA7954">
        <w:rPr>
          <w:rFonts w:ascii="Arial" w:hAnsi="Arial" w:cs="Arial"/>
          <w:sz w:val="20"/>
          <w:szCs w:val="20"/>
        </w:rPr>
        <w:t xml:space="preserve"> el saldo de este rubr</w:t>
      </w:r>
      <w:r w:rsidR="009B0841">
        <w:rPr>
          <w:rFonts w:ascii="Arial" w:hAnsi="Arial" w:cs="Arial"/>
          <w:sz w:val="20"/>
          <w:szCs w:val="20"/>
        </w:rPr>
        <w:t>o es de $13,930.40 pesos por concepto de rendimientos financieros.</w:t>
      </w:r>
    </w:p>
    <w:p w:rsidR="00BC11EC" w:rsidRPr="0017274E" w:rsidRDefault="00412829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 Y OTRAS PÉRDIDAS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9B0841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$ 2,693,355.12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9B0841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  2,234,473.29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0841">
              <w:rPr>
                <w:rFonts w:ascii="Arial" w:hAnsi="Arial" w:cs="Arial"/>
                <w:sz w:val="20"/>
                <w:szCs w:val="20"/>
              </w:rPr>
              <w:t xml:space="preserve">     238,491.06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9B084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220,390.77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841">
              <w:rPr>
                <w:rFonts w:ascii="Arial" w:hAnsi="Arial" w:cs="Arial"/>
                <w:b/>
                <w:sz w:val="20"/>
                <w:szCs w:val="20"/>
              </w:rPr>
              <w:t xml:space="preserve"> 312,771.89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9B0841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312,771.89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F98" w:rsidRDefault="00C84F98" w:rsidP="00C84F9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50F9F" w:rsidRPr="0017274E" w:rsidRDefault="00EE0BD7" w:rsidP="00C84F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630E1F" w:rsidRDefault="00D1613C" w:rsidP="00630E1F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0D664D">
        <w:rPr>
          <w:rFonts w:ascii="Arial" w:hAnsi="Arial" w:cs="Arial"/>
          <w:sz w:val="20"/>
          <w:szCs w:val="20"/>
        </w:rPr>
        <w:t xml:space="preserve"> al 31 de diciembre</w:t>
      </w:r>
      <w:r w:rsidR="00FB1E4C">
        <w:rPr>
          <w:rFonts w:ascii="Arial" w:hAnsi="Arial" w:cs="Arial"/>
          <w:sz w:val="20"/>
          <w:szCs w:val="20"/>
        </w:rPr>
        <w:t xml:space="preserve"> la cuenta de patrimonio contribuido se encuentra en cero.</w:t>
      </w:r>
    </w:p>
    <w:p w:rsidR="00850F9F" w:rsidRPr="008D3286" w:rsidRDefault="00D1613C" w:rsidP="00630E1F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286">
        <w:rPr>
          <w:rFonts w:ascii="Arial" w:hAnsi="Arial" w:cs="Arial"/>
          <w:b/>
          <w:sz w:val="20"/>
          <w:szCs w:val="20"/>
        </w:rPr>
        <w:t>Patrimonio generado:</w:t>
      </w:r>
      <w:r w:rsidRPr="008D3286">
        <w:rPr>
          <w:rFonts w:ascii="Arial" w:hAnsi="Arial" w:cs="Arial"/>
          <w:sz w:val="20"/>
          <w:szCs w:val="20"/>
        </w:rPr>
        <w:t xml:space="preserve"> </w:t>
      </w:r>
      <w:r w:rsidR="001D5BA0" w:rsidRPr="008D3286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8D3286">
        <w:rPr>
          <w:rFonts w:ascii="Arial" w:hAnsi="Arial" w:cs="Arial"/>
          <w:sz w:val="20"/>
          <w:szCs w:val="20"/>
        </w:rPr>
        <w:t xml:space="preserve"> del periodo </w:t>
      </w:r>
      <w:r w:rsidR="00C053DC" w:rsidRPr="008D3286">
        <w:rPr>
          <w:rFonts w:ascii="Arial" w:hAnsi="Arial" w:cs="Arial"/>
          <w:sz w:val="20"/>
          <w:szCs w:val="20"/>
        </w:rPr>
        <w:t xml:space="preserve">que se informa, </w:t>
      </w:r>
      <w:r w:rsidR="008D3286" w:rsidRPr="008D3286">
        <w:rPr>
          <w:rFonts w:ascii="Arial" w:hAnsi="Arial" w:cs="Arial"/>
          <w:sz w:val="20"/>
          <w:szCs w:val="20"/>
        </w:rPr>
        <w:t>deriva del</w:t>
      </w:r>
      <w:r w:rsidR="00FB1E4C" w:rsidRPr="008D3286">
        <w:rPr>
          <w:rFonts w:ascii="Arial" w:hAnsi="Arial" w:cs="Arial"/>
          <w:sz w:val="20"/>
          <w:szCs w:val="20"/>
        </w:rPr>
        <w:t xml:space="preserve"> resultado </w:t>
      </w:r>
      <w:r w:rsidR="008D3286" w:rsidRPr="008D3286">
        <w:rPr>
          <w:rFonts w:ascii="Arial" w:hAnsi="Arial" w:cs="Arial"/>
          <w:sz w:val="20"/>
          <w:szCs w:val="20"/>
        </w:rPr>
        <w:t>de los ejercicios anteriores</w:t>
      </w:r>
      <w:r w:rsidR="008D3286">
        <w:rPr>
          <w:rFonts w:ascii="Arial" w:hAnsi="Arial" w:cs="Arial"/>
          <w:sz w:val="20"/>
          <w:szCs w:val="20"/>
        </w:rPr>
        <w:t>.</w:t>
      </w:r>
    </w:p>
    <w:p w:rsidR="00850F9F" w:rsidRP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0D664D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31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>
              <w:rPr>
                <w:szCs w:val="18"/>
                <w:lang w:val="es-MX"/>
              </w:rPr>
              <w:t>diciembre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FB3731">
              <w:rPr>
                <w:szCs w:val="18"/>
                <w:lang w:val="es-MX"/>
              </w:rPr>
              <w:t>019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8C2C9F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$44,141.58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850F9F" w:rsidRPr="00630E1F" w:rsidRDefault="000D569A" w:rsidP="00630E1F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31 de diciembre</w:t>
      </w:r>
      <w:r w:rsidR="00463731">
        <w:rPr>
          <w:rFonts w:eastAsiaTheme="minorHAnsi"/>
          <w:sz w:val="20"/>
          <w:szCs w:val="20"/>
          <w:lang w:val="es-MX" w:eastAsia="en-US"/>
        </w:rPr>
        <w:t xml:space="preserve"> 2019</w:t>
      </w:r>
      <w:r w:rsidR="00590503">
        <w:rPr>
          <w:rFonts w:eastAsiaTheme="minorHAnsi"/>
          <w:sz w:val="20"/>
          <w:szCs w:val="20"/>
          <w:lang w:val="es-MX" w:eastAsia="en-US"/>
        </w:rPr>
        <w:t xml:space="preserve">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850F9F" w:rsidRPr="00630E1F" w:rsidRDefault="00F231DC" w:rsidP="00630E1F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463731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2019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C961AE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C961AE">
              <w:rPr>
                <w:b/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CF1638" w:rsidRPr="00610E06" w:rsidRDefault="00CF1638" w:rsidP="00630E1F">
      <w:pPr>
        <w:pStyle w:val="ROMANOS"/>
        <w:tabs>
          <w:tab w:val="clear" w:pos="720"/>
        </w:tabs>
        <w:spacing w:after="80" w:line="203" w:lineRule="exact"/>
        <w:ind w:left="0" w:firstLine="0"/>
        <w:rPr>
          <w:sz w:val="16"/>
          <w:szCs w:val="16"/>
          <w:lang w:val="es-MX"/>
        </w:rPr>
      </w:pPr>
    </w:p>
    <w:p w:rsidR="00EB4645" w:rsidRPr="00850F9F" w:rsidRDefault="00E81D9D" w:rsidP="00630E1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t>CONCILIACIÓN ENTRE LOS INGRESOS PRESUPUESTARIOS Y CONTABLES, ASI COMO ENTRE LOS EGRESOS PRESUPUESTARIOS Y LOS GASTOS CONTABLES</w:t>
      </w:r>
    </w:p>
    <w:p w:rsidR="00EB4645" w:rsidRPr="00630E1F" w:rsidRDefault="0046364B" w:rsidP="00630E1F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ingresos</w:t>
      </w:r>
      <w:r w:rsidR="00261B22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</w:t>
      </w:r>
      <w:r w:rsidRPr="002D74F4">
        <w:rPr>
          <w:rFonts w:ascii="Arial" w:hAnsi="Arial" w:cs="Arial"/>
          <w:sz w:val="18"/>
          <w:szCs w:val="18"/>
        </w:rPr>
        <w:t>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42"/>
        <w:gridCol w:w="1496"/>
        <w:gridCol w:w="241"/>
        <w:gridCol w:w="2558"/>
        <w:gridCol w:w="241"/>
      </w:tblGrid>
      <w:tr w:rsidR="003550F2" w:rsidRPr="003550F2" w:rsidTr="002D74F4">
        <w:trPr>
          <w:trHeight w:val="106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21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0D56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0D56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diciembre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2019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C961AE">
        <w:trPr>
          <w:gridAfter w:val="1"/>
          <w:wAfter w:w="241" w:type="dxa"/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EB464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3,036,580.00</w:t>
            </w:r>
          </w:p>
        </w:tc>
      </w:tr>
      <w:tr w:rsidR="003550F2" w:rsidRPr="003550F2" w:rsidTr="00630E1F">
        <w:trPr>
          <w:trHeight w:val="12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2D74F4">
        <w:trPr>
          <w:trHeight w:val="2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 Ingresos Financieros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Incremento por variación de inventarios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2.3 </w:t>
            </w:r>
            <w:r w:rsidR="003550F2"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</w:t>
            </w: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nución del exceso de estimaciones por pérdida o deterioro u obsolescencia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Disminución del exceso de provisiones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183F" w:rsidRPr="003550F2" w:rsidTr="00F845E0">
        <w:trPr>
          <w:trHeight w:val="17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3F" w:rsidRPr="003550F2" w:rsidRDefault="000F183F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3F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Otros ingresos y beneficios varios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3F" w:rsidRPr="00F845E0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183F" w:rsidRPr="003550F2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C961AE">
        <w:trPr>
          <w:trHeight w:val="10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otros ingresos contables no presupuestarios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6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D74F4">
        <w:trPr>
          <w:trHeight w:val="2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 patrimoniales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 Ingresos derivados de financiamientos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 otros ingresos presupuestarios no contables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630E1F">
        <w:trPr>
          <w:trHeight w:val="58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EB464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3,036,580.00</w:t>
            </w:r>
          </w:p>
        </w:tc>
      </w:tr>
    </w:tbl>
    <w:p w:rsidR="00EB4645" w:rsidRPr="002D74F4" w:rsidRDefault="00EB4645" w:rsidP="002D7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Pr="002D74F4" w:rsidRDefault="00A51D8E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egresos</w:t>
      </w:r>
      <w:r w:rsidR="00C414B6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2D74F4">
        <w:trPr>
          <w:trHeight w:val="211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1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0D569A" w:rsidP="0012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enero al 31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diciembre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2019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EB464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3,011,695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5370CB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5,568</w:t>
            </w:r>
          </w:p>
        </w:tc>
      </w:tr>
      <w:tr w:rsidR="003550F2" w:rsidRPr="003550F2" w:rsidTr="002A7577">
        <w:trPr>
          <w:trHeight w:val="2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Materias Primas y Materiales de Producción y Comercialización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Materiales y Suministros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 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18369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2D74F4">
            <w:pPr>
              <w:spacing w:after="0" w:line="240" w:lineRule="auto"/>
              <w:ind w:left="141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 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2.8 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 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2.10 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2.11 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2.12 Obra Pública en Bienes de Dominio Público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2.13 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2.14 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2.15 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2.16 Concesión de Préstamos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2.17 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2.18 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2.19 Amortización de la Deuda Pública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2.20 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A7577" w:rsidRPr="003550F2" w:rsidTr="005A1529">
        <w:trPr>
          <w:trHeight w:val="240"/>
        </w:trPr>
        <w:tc>
          <w:tcPr>
            <w:tcW w:w="6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Pr="00F845E0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2.21 Otros egresos presupuestarios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577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0</w:t>
            </w:r>
          </w:p>
        </w:tc>
      </w:tr>
      <w:tr w:rsidR="003550F2" w:rsidRPr="003550F2" w:rsidTr="002A7577">
        <w:trPr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7E36D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</w:t>
            </w:r>
            <w:r w:rsidR="00E776DC"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8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EB464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3,006,127.00</w:t>
            </w:r>
          </w:p>
        </w:tc>
      </w:tr>
    </w:tbl>
    <w:p w:rsidR="00EB4645" w:rsidRDefault="00EB4645" w:rsidP="00183695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6019"/>
        <w:gridCol w:w="1538"/>
      </w:tblGrid>
      <w:tr w:rsidR="00D4333B" w:rsidRPr="00B7483E" w:rsidTr="00D4333B">
        <w:tc>
          <w:tcPr>
            <w:tcW w:w="1271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38" w:type="dxa"/>
          </w:tcPr>
          <w:p w:rsidR="00D4333B" w:rsidRPr="00B7483E" w:rsidRDefault="00EB4645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019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33B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Valores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Emisión de Obligaciones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Avales y Garantías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Juicios</w:t>
            </w:r>
          </w:p>
        </w:tc>
        <w:tc>
          <w:tcPr>
            <w:tcW w:w="1538" w:type="dxa"/>
          </w:tcPr>
          <w:p w:rsidR="00D4333B" w:rsidRPr="00B7483E" w:rsidRDefault="00805126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453,175.58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6019" w:type="dxa"/>
          </w:tcPr>
          <w:p w:rsidR="00D4333B" w:rsidRPr="00B7483E" w:rsidRDefault="00D4333B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Inversiones Mediante Proyectos para Prestación de              Servicios (PPS) y Similares.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Bienes concesionados o en comodato</w:t>
            </w:r>
          </w:p>
        </w:tc>
        <w:tc>
          <w:tcPr>
            <w:tcW w:w="1538" w:type="dxa"/>
          </w:tcPr>
          <w:p w:rsidR="00D4333B" w:rsidRPr="00B7483E" w:rsidRDefault="00D4333B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052">
              <w:rPr>
                <w:rFonts w:ascii="Arial" w:hAnsi="Arial" w:cs="Arial"/>
                <w:b/>
                <w:sz w:val="20"/>
                <w:szCs w:val="20"/>
              </w:rPr>
              <w:t xml:space="preserve">            $3,016,153.77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2F5AB4" w:rsidRPr="008863FA" w:rsidRDefault="002F5AB4" w:rsidP="00630E1F">
      <w:pPr>
        <w:spacing w:after="0" w:line="276" w:lineRule="auto"/>
        <w:rPr>
          <w:rFonts w:ascii="Arial" w:hAnsi="Arial" w:cs="Arial"/>
        </w:rPr>
      </w:pPr>
    </w:p>
    <w:p w:rsidR="002414BB" w:rsidRPr="00742790" w:rsidRDefault="002414BB" w:rsidP="00630E1F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630E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0D569A">
        <w:rPr>
          <w:rFonts w:ascii="Arial" w:hAnsi="Arial" w:cs="Arial"/>
          <w:sz w:val="20"/>
          <w:szCs w:val="20"/>
        </w:rPr>
        <w:t>1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0D569A">
        <w:rPr>
          <w:rFonts w:ascii="Arial" w:hAnsi="Arial" w:cs="Arial"/>
          <w:sz w:val="20"/>
          <w:szCs w:val="20"/>
        </w:rPr>
        <w:t>diciembre</w:t>
      </w:r>
      <w:r w:rsidR="00AD1671">
        <w:rPr>
          <w:rFonts w:ascii="Arial" w:hAnsi="Arial" w:cs="Arial"/>
          <w:sz w:val="20"/>
          <w:szCs w:val="20"/>
        </w:rPr>
        <w:t xml:space="preserve"> 2019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1843"/>
      </w:tblGrid>
      <w:tr w:rsidR="00804E79" w:rsidRPr="00742790" w:rsidTr="002B4182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4110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84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843" w:type="dxa"/>
          </w:tcPr>
          <w:p w:rsidR="00804E79" w:rsidRPr="00197059" w:rsidRDefault="00197059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843" w:type="dxa"/>
          </w:tcPr>
          <w:p w:rsidR="00804E79" w:rsidRPr="00197059" w:rsidRDefault="00E02AE0" w:rsidP="00162C76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62C76">
              <w:rPr>
                <w:sz w:val="20"/>
              </w:rPr>
              <w:t xml:space="preserve">              </w:t>
            </w:r>
            <w:r w:rsidR="00741A9D">
              <w:rPr>
                <w:sz w:val="20"/>
              </w:rPr>
              <w:t>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843" w:type="dxa"/>
          </w:tcPr>
          <w:p w:rsidR="00804E79" w:rsidRPr="00197059" w:rsidRDefault="000F718F" w:rsidP="00162C76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02AE0">
              <w:rPr>
                <w:sz w:val="20"/>
              </w:rPr>
              <w:t xml:space="preserve"> </w:t>
            </w:r>
            <w:r w:rsidR="00162C76">
              <w:rPr>
                <w:sz w:val="20"/>
              </w:rPr>
              <w:t xml:space="preserve">                    36,580.40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843" w:type="dxa"/>
          </w:tcPr>
          <w:p w:rsidR="00804E79" w:rsidRPr="00197059" w:rsidRDefault="00E02AE0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62C76">
              <w:rPr>
                <w:sz w:val="20"/>
              </w:rPr>
              <w:t>3,036,580.00</w:t>
            </w:r>
          </w:p>
        </w:tc>
      </w:tr>
    </w:tbl>
    <w:p w:rsidR="008E2016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C84F98" w:rsidRDefault="00C84F98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C84F98" w:rsidRPr="00742790" w:rsidRDefault="00C84F98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lastRenderedPageBreak/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162C76" w:rsidP="00162C76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871,830.97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162C7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936,507.74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162C7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3,064,676.77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162C76" w:rsidRPr="008D6AAA" w:rsidRDefault="00162C76" w:rsidP="00162C76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3,011,695.01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162C7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3,011,695.01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162C76" w:rsidP="00162C76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3,011,695.01</w:t>
            </w:r>
          </w:p>
        </w:tc>
      </w:tr>
    </w:tbl>
    <w:p w:rsidR="004814CC" w:rsidRPr="008E2016" w:rsidRDefault="004814CC" w:rsidP="00C84F98">
      <w:pPr>
        <w:pStyle w:val="Texto"/>
        <w:tabs>
          <w:tab w:val="left" w:pos="1260"/>
        </w:tabs>
        <w:spacing w:line="224" w:lineRule="exact"/>
        <w:ind w:firstLine="0"/>
        <w:rPr>
          <w:szCs w:val="18"/>
        </w:rPr>
      </w:pPr>
    </w:p>
    <w:p w:rsidR="002414BB" w:rsidRPr="00742790" w:rsidRDefault="002414BB" w:rsidP="002414BB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162C76" w:rsidRPr="00162C76" w:rsidRDefault="002414BB" w:rsidP="00162C76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162C76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EJERCICIO</w:t>
      </w:r>
      <w:r w:rsidR="000D4846" w:rsidRPr="007427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2019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11657" w:rsidRPr="00E23FFF" w:rsidRDefault="002414BB" w:rsidP="00E23FFF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lastRenderedPageBreak/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  <w:r w:rsidRPr="00E23FFF">
        <w:rPr>
          <w:rFonts w:ascii="Arial" w:hAnsi="Arial" w:cs="Arial"/>
          <w:sz w:val="24"/>
          <w:szCs w:val="24"/>
        </w:rPr>
        <w:t xml:space="preserve">                              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Declaración informativa anual de retenciones de ISR por sueldos y salarios e ingresos asimilados a salarios e informativa anual del subsidio para el empleo.</w:t>
      </w: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637D1C" w:rsidRPr="00EB5888" w:rsidRDefault="00E23FFF" w:rsidP="00637D1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53A8C8B" wp14:editId="022E61F4">
            <wp:simplePos x="0" y="0"/>
            <wp:positionH relativeFrom="margin">
              <wp:posOffset>-165735</wp:posOffset>
            </wp:positionH>
            <wp:positionV relativeFrom="page">
              <wp:posOffset>3495040</wp:posOffset>
            </wp:positionV>
            <wp:extent cx="6593840" cy="4003040"/>
            <wp:effectExtent l="0" t="0" r="0" b="0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7" t="8435" r="10727" b="7421"/>
                    <a:stretch/>
                  </pic:blipFill>
                  <pic:spPr bwMode="auto">
                    <a:xfrm>
                      <a:off x="0" y="0"/>
                      <a:ext cx="6593840" cy="400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BB" w:rsidRPr="00F0513A">
        <w:rPr>
          <w:rFonts w:ascii="Arial" w:hAnsi="Arial" w:cs="Arial"/>
          <w:sz w:val="20"/>
          <w:szCs w:val="20"/>
        </w:rPr>
        <w:t>ESTRUCTURA ORGANIZACIONAL BÁSICA:</w:t>
      </w:r>
      <w:r w:rsidR="00171427" w:rsidRPr="00171427">
        <w:rPr>
          <w:noProof/>
          <w:lang w:eastAsia="es-MX"/>
        </w:rPr>
        <w:t xml:space="preserve"> </w:t>
      </w:r>
    </w:p>
    <w:p w:rsidR="00EB5888" w:rsidRPr="00630E1F" w:rsidRDefault="00EB5888" w:rsidP="00EB5888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E1F" w:rsidRPr="00630E1F" w:rsidRDefault="00630E1F" w:rsidP="00630E1F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0D569A">
        <w:rPr>
          <w:rFonts w:ascii="Arial" w:hAnsi="Arial" w:cs="Arial"/>
          <w:sz w:val="20"/>
          <w:szCs w:val="20"/>
        </w:rPr>
        <w:t>al 31 de diciembre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Los estados financieros han </w:t>
      </w:r>
      <w:r w:rsidR="00E23FFF" w:rsidRPr="00742790">
        <w:rPr>
          <w:rFonts w:ascii="Arial" w:hAnsi="Arial" w:cs="Arial"/>
          <w:sz w:val="20"/>
          <w:szCs w:val="20"/>
        </w:rPr>
        <w:t>sido preparados</w:t>
      </w:r>
      <w:r w:rsidRPr="00742790">
        <w:rPr>
          <w:rFonts w:ascii="Arial" w:hAnsi="Arial" w:cs="Arial"/>
          <w:sz w:val="20"/>
          <w:szCs w:val="20"/>
        </w:rPr>
        <w:t xml:space="preserve"> con base a </w:t>
      </w:r>
      <w:r w:rsidR="00E23FFF" w:rsidRPr="00742790">
        <w:rPr>
          <w:rFonts w:ascii="Arial" w:hAnsi="Arial" w:cs="Arial"/>
          <w:sz w:val="20"/>
          <w:szCs w:val="20"/>
        </w:rPr>
        <w:t>la normatividad</w:t>
      </w:r>
      <w:r w:rsidRPr="00742790">
        <w:rPr>
          <w:rFonts w:ascii="Arial" w:hAnsi="Arial" w:cs="Arial"/>
          <w:sz w:val="20"/>
          <w:szCs w:val="20"/>
        </w:rPr>
        <w:t xml:space="preserve">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37D1C" w:rsidRPr="0096557C" w:rsidRDefault="002414BB" w:rsidP="0096557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0D569A">
        <w:rPr>
          <w:rFonts w:ascii="Arial" w:hAnsi="Arial" w:cs="Arial"/>
          <w:sz w:val="20"/>
          <w:szCs w:val="20"/>
        </w:rPr>
        <w:t>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D569A">
        <w:rPr>
          <w:rFonts w:ascii="Arial" w:hAnsi="Arial" w:cs="Arial"/>
          <w:sz w:val="20"/>
          <w:szCs w:val="20"/>
        </w:rPr>
        <w:t>diciembre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911657">
        <w:rPr>
          <w:rFonts w:ascii="Arial" w:hAnsi="Arial" w:cs="Arial"/>
          <w:sz w:val="20"/>
          <w:szCs w:val="20"/>
        </w:rPr>
        <w:t>2019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835A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1281D" w:rsidRPr="0011281D" w:rsidRDefault="0011281D" w:rsidP="00835AA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Pr="00330929" w:rsidRDefault="00DC3F19" w:rsidP="004C7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0D569A">
        <w:rPr>
          <w:rFonts w:ascii="Arial" w:hAnsi="Arial" w:cs="Arial"/>
          <w:sz w:val="20"/>
          <w:szCs w:val="20"/>
        </w:rPr>
        <w:t>31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0D569A">
        <w:rPr>
          <w:rFonts w:ascii="Arial" w:hAnsi="Arial" w:cs="Arial"/>
          <w:sz w:val="20"/>
          <w:szCs w:val="20"/>
        </w:rPr>
        <w:t>diciembre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2414BB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96557C" w:rsidRPr="002C0E31" w:rsidRDefault="0096557C" w:rsidP="0096557C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73DF2" w:rsidRDefault="000D569A" w:rsidP="004C73C3">
      <w:pPr>
        <w:pStyle w:val="Texto"/>
        <w:spacing w:line="276" w:lineRule="auto"/>
        <w:ind w:firstLine="0"/>
        <w:rPr>
          <w:sz w:val="20"/>
        </w:rPr>
      </w:pPr>
      <w:r>
        <w:rPr>
          <w:sz w:val="20"/>
        </w:rPr>
        <w:t>Al 31</w:t>
      </w:r>
      <w:r w:rsidR="009862FB" w:rsidRPr="009862FB">
        <w:rPr>
          <w:sz w:val="20"/>
        </w:rPr>
        <w:t xml:space="preserve"> de </w:t>
      </w:r>
      <w:r>
        <w:rPr>
          <w:sz w:val="20"/>
        </w:rPr>
        <w:t>diciembre</w:t>
      </w:r>
      <w:r w:rsidR="00911657">
        <w:rPr>
          <w:sz w:val="20"/>
        </w:rPr>
        <w:t xml:space="preserve"> 2019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96557C" w:rsidRPr="00573DF2" w:rsidRDefault="0096557C" w:rsidP="00355412">
      <w:pPr>
        <w:pStyle w:val="Texto"/>
        <w:spacing w:line="240" w:lineRule="exact"/>
        <w:ind w:firstLine="0"/>
        <w:rPr>
          <w:sz w:val="20"/>
        </w:rPr>
      </w:pP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0D569A">
        <w:rPr>
          <w:rFonts w:ascii="Arial" w:hAnsi="Arial" w:cs="Arial"/>
          <w:sz w:val="20"/>
          <w:szCs w:val="20"/>
        </w:rPr>
        <w:t>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D569A">
        <w:rPr>
          <w:rFonts w:ascii="Arial" w:hAnsi="Arial" w:cs="Arial"/>
          <w:sz w:val="20"/>
          <w:szCs w:val="20"/>
        </w:rPr>
        <w:t>diciembre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4C7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96557C"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0D569A">
        <w:rPr>
          <w:rFonts w:ascii="Arial" w:hAnsi="Arial" w:cs="Arial"/>
          <w:sz w:val="20"/>
          <w:szCs w:val="20"/>
        </w:rPr>
        <w:t>diciembre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FA4EFB" w:rsidRDefault="000D569A" w:rsidP="00835A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B066FF">
        <w:rPr>
          <w:rFonts w:ascii="Arial" w:hAnsi="Arial" w:cs="Arial"/>
          <w:sz w:val="20"/>
          <w:szCs w:val="20"/>
        </w:rPr>
        <w:t>diciembre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4C7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B066FF">
        <w:rPr>
          <w:rFonts w:ascii="Arial" w:hAnsi="Arial" w:cs="Arial"/>
          <w:sz w:val="20"/>
          <w:szCs w:val="20"/>
        </w:rPr>
        <w:t>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B066FF">
        <w:rPr>
          <w:rFonts w:ascii="Arial" w:hAnsi="Arial" w:cs="Arial"/>
          <w:sz w:val="20"/>
          <w:szCs w:val="20"/>
        </w:rPr>
        <w:t>diciembre</w:t>
      </w:r>
      <w:r w:rsidR="00053178">
        <w:rPr>
          <w:rFonts w:ascii="Arial" w:hAnsi="Arial" w:cs="Arial"/>
          <w:sz w:val="20"/>
          <w:szCs w:val="20"/>
        </w:rPr>
        <w:t xml:space="preserve"> </w:t>
      </w:r>
      <w:r w:rsidR="002C0E31">
        <w:rPr>
          <w:rFonts w:ascii="Arial" w:hAnsi="Arial" w:cs="Arial"/>
          <w:sz w:val="20"/>
          <w:szCs w:val="20"/>
        </w:rPr>
        <w:t>el Sistema DIF TENABO, no se tiene circunstancias de carácter significativo que afecten el activo.</w:t>
      </w:r>
    </w:p>
    <w:p w:rsidR="0096557C" w:rsidRDefault="00B066FF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diciembre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4"/>
        <w:gridCol w:w="1413"/>
        <w:gridCol w:w="1597"/>
        <w:gridCol w:w="1597"/>
        <w:gridCol w:w="1374"/>
        <w:gridCol w:w="1413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154,014.19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83,255.93</w:t>
            </w:r>
          </w:p>
        </w:tc>
        <w:tc>
          <w:tcPr>
            <w:tcW w:w="1472" w:type="dxa"/>
          </w:tcPr>
          <w:p w:rsidR="00360B71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70,759.16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6779F">
              <w:rPr>
                <w:rFonts w:ascii="Arial" w:hAnsi="Arial" w:cs="Arial"/>
                <w:sz w:val="16"/>
                <w:szCs w:val="16"/>
              </w:rPr>
              <w:t>1,513.50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2" w:type="dxa"/>
          </w:tcPr>
          <w:p w:rsidR="002C060C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6,159.00</w:t>
            </w:r>
          </w:p>
        </w:tc>
        <w:tc>
          <w:tcPr>
            <w:tcW w:w="1472" w:type="dxa"/>
          </w:tcPr>
          <w:p w:rsidR="002C060C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11,474.00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1,019,688.70</w:t>
            </w:r>
          </w:p>
        </w:tc>
        <w:tc>
          <w:tcPr>
            <w:tcW w:w="1471" w:type="dxa"/>
          </w:tcPr>
          <w:p w:rsidR="00360B71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189,047.38</w:t>
            </w:r>
          </w:p>
        </w:tc>
        <w:tc>
          <w:tcPr>
            <w:tcW w:w="1471" w:type="dxa"/>
          </w:tcPr>
          <w:p w:rsidR="00360B71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935,917.94</w:t>
            </w:r>
          </w:p>
        </w:tc>
        <w:tc>
          <w:tcPr>
            <w:tcW w:w="1472" w:type="dxa"/>
          </w:tcPr>
          <w:p w:rsidR="00360B71" w:rsidRPr="00144B1E" w:rsidRDefault="009C27CB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82,264.16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B066FF">
        <w:rPr>
          <w:rFonts w:ascii="Arial" w:hAnsi="Arial" w:cs="Arial"/>
          <w:sz w:val="20"/>
          <w:szCs w:val="20"/>
        </w:rPr>
        <w:t>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B066FF">
        <w:rPr>
          <w:rFonts w:ascii="Arial" w:hAnsi="Arial" w:cs="Arial"/>
          <w:sz w:val="20"/>
          <w:szCs w:val="20"/>
        </w:rPr>
        <w:t>diciembre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B066FF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diciembre</w:t>
      </w:r>
      <w:r w:rsidR="003F6DA9">
        <w:rPr>
          <w:rFonts w:ascii="Arial" w:hAnsi="Arial" w:cs="Arial"/>
          <w:sz w:val="20"/>
          <w:szCs w:val="20"/>
        </w:rPr>
        <w:t xml:space="preserve"> 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B066FF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diciembre</w:t>
      </w:r>
      <w:r w:rsidR="003F6DA9">
        <w:rPr>
          <w:rFonts w:ascii="Arial" w:hAnsi="Arial" w:cs="Arial"/>
          <w:sz w:val="20"/>
          <w:szCs w:val="20"/>
        </w:rPr>
        <w:t xml:space="preserve"> 2019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B066FF">
        <w:rPr>
          <w:rFonts w:ascii="Arial" w:hAnsi="Arial" w:cs="Arial"/>
          <w:sz w:val="20"/>
          <w:szCs w:val="20"/>
        </w:rPr>
        <w:t>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B066FF">
        <w:rPr>
          <w:rFonts w:ascii="Arial" w:hAnsi="Arial" w:cs="Arial"/>
          <w:sz w:val="20"/>
          <w:szCs w:val="20"/>
        </w:rPr>
        <w:t>diciembre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lastRenderedPageBreak/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9C27CB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Normas Presupuestarias: Nos indica cómo se ejecuta el gasto público, administrándolo con eficiencia, eficacia, economía, transparencia y honradez, 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9C27CB" w:rsidRPr="004814CC" w:rsidRDefault="009C27CB" w:rsidP="009C27CB">
      <w:pPr>
        <w:pStyle w:val="Prrafodelista"/>
        <w:spacing w:line="360" w:lineRule="auto"/>
        <w:ind w:left="1685"/>
        <w:jc w:val="both"/>
        <w:rPr>
          <w:rFonts w:ascii="Arial" w:hAnsi="Arial" w:cs="Arial"/>
          <w:b/>
          <w:sz w:val="20"/>
          <w:szCs w:val="20"/>
        </w:rPr>
      </w:pP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637D1C" w:rsidRP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B066FF">
        <w:rPr>
          <w:rFonts w:ascii="Arial" w:hAnsi="Arial" w:cs="Arial"/>
          <w:sz w:val="20"/>
          <w:szCs w:val="20"/>
        </w:rPr>
        <w:t>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B066FF">
        <w:rPr>
          <w:rFonts w:ascii="Arial" w:hAnsi="Arial" w:cs="Arial"/>
          <w:sz w:val="20"/>
          <w:szCs w:val="20"/>
        </w:rPr>
        <w:t>diciembre</w:t>
      </w:r>
      <w:r w:rsidR="00047F71">
        <w:rPr>
          <w:rFonts w:ascii="Arial" w:hAnsi="Arial" w:cs="Arial"/>
          <w:sz w:val="20"/>
          <w:szCs w:val="20"/>
        </w:rPr>
        <w:t xml:space="preserve"> 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B066FF">
        <w:rPr>
          <w:rFonts w:ascii="Arial" w:hAnsi="Arial" w:cs="Arial"/>
          <w:sz w:val="20"/>
          <w:szCs w:val="20"/>
        </w:rPr>
        <w:t>1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B066FF">
        <w:rPr>
          <w:rFonts w:ascii="Arial" w:hAnsi="Arial" w:cs="Arial"/>
          <w:sz w:val="20"/>
          <w:szCs w:val="20"/>
        </w:rPr>
        <w:t>diciembre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47F71">
        <w:rPr>
          <w:rFonts w:ascii="Arial" w:hAnsi="Arial" w:cs="Arial"/>
          <w:sz w:val="20"/>
          <w:szCs w:val="20"/>
        </w:rPr>
        <w:t>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PARTES RELACIONADAS</w:t>
      </w:r>
    </w:p>
    <w:p w:rsidR="00A153C3" w:rsidRPr="00737B89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F85347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B066FF">
        <w:rPr>
          <w:rFonts w:ascii="Arial" w:hAnsi="Arial" w:cs="Arial"/>
          <w:sz w:val="20"/>
          <w:szCs w:val="20"/>
        </w:rPr>
        <w:t>a 31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B066FF">
        <w:rPr>
          <w:rFonts w:ascii="Arial" w:hAnsi="Arial" w:cs="Arial"/>
          <w:sz w:val="20"/>
          <w:szCs w:val="20"/>
        </w:rPr>
        <w:t>diciembre</w:t>
      </w:r>
      <w:r w:rsidR="00047F71">
        <w:rPr>
          <w:rFonts w:ascii="Arial" w:hAnsi="Arial" w:cs="Arial"/>
          <w:sz w:val="20"/>
          <w:szCs w:val="20"/>
        </w:rPr>
        <w:t xml:space="preserve"> 2019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96557C">
        <w:rPr>
          <w:rFonts w:ascii="Arial" w:hAnsi="Arial" w:cs="Arial"/>
          <w:sz w:val="20"/>
          <w:szCs w:val="20"/>
        </w:rPr>
        <w:t xml:space="preserve">   B.R. MARIA DE LOURDES VENTURA CHAN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86" w:rsidRDefault="00C90086" w:rsidP="00C71211">
      <w:pPr>
        <w:spacing w:after="0" w:line="240" w:lineRule="auto"/>
      </w:pPr>
      <w:r>
        <w:separator/>
      </w:r>
    </w:p>
  </w:endnote>
  <w:endnote w:type="continuationSeparator" w:id="0">
    <w:p w:rsidR="00C90086" w:rsidRDefault="00C90086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87273"/>
      <w:docPartObj>
        <w:docPartGallery w:val="Page Numbers (Bottom of Page)"/>
        <w:docPartUnique/>
      </w:docPartObj>
    </w:sdtPr>
    <w:sdtEndPr/>
    <w:sdtContent>
      <w:p w:rsidR="00011AFF" w:rsidRDefault="00011A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47" w:rsidRPr="00F85347">
          <w:rPr>
            <w:noProof/>
            <w:lang w:val="es-ES"/>
          </w:rPr>
          <w:t>12</w:t>
        </w:r>
        <w:r>
          <w:fldChar w:fldCharType="end"/>
        </w:r>
      </w:p>
    </w:sdtContent>
  </w:sdt>
  <w:p w:rsidR="00011AFF" w:rsidRDefault="00011A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86" w:rsidRDefault="00C90086" w:rsidP="00C71211">
      <w:pPr>
        <w:spacing w:after="0" w:line="240" w:lineRule="auto"/>
      </w:pPr>
      <w:r>
        <w:separator/>
      </w:r>
    </w:p>
  </w:footnote>
  <w:footnote w:type="continuationSeparator" w:id="0">
    <w:p w:rsidR="00C90086" w:rsidRDefault="00C90086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F" w:rsidRDefault="00011AFF" w:rsidP="00C51B8A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5539105</wp:posOffset>
          </wp:positionH>
          <wp:positionV relativeFrom="page">
            <wp:posOffset>219075</wp:posOffset>
          </wp:positionV>
          <wp:extent cx="799465" cy="889000"/>
          <wp:effectExtent l="0" t="0" r="635" b="6350"/>
          <wp:wrapTight wrapText="bothSides">
            <wp:wrapPolygon edited="0">
              <wp:start x="5662" y="0"/>
              <wp:lineTo x="0" y="3703"/>
              <wp:lineTo x="0" y="18051"/>
              <wp:lineTo x="3088" y="21291"/>
              <wp:lineTo x="6176" y="21291"/>
              <wp:lineTo x="14926" y="21291"/>
              <wp:lineTo x="17500" y="21291"/>
              <wp:lineTo x="21102" y="17589"/>
              <wp:lineTo x="21102" y="3703"/>
              <wp:lineTo x="15441" y="0"/>
              <wp:lineTo x="566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-865505</wp:posOffset>
          </wp:positionH>
          <wp:positionV relativeFrom="page">
            <wp:posOffset>174625</wp:posOffset>
          </wp:positionV>
          <wp:extent cx="1095375" cy="985520"/>
          <wp:effectExtent l="0" t="0" r="9525" b="5080"/>
          <wp:wrapTight wrapText="bothSides">
            <wp:wrapPolygon edited="0">
              <wp:start x="0" y="0"/>
              <wp:lineTo x="0" y="21294"/>
              <wp:lineTo x="21412" y="21294"/>
              <wp:lineTo x="2141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011AFF" w:rsidRPr="00A04023" w:rsidRDefault="00011AFF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31 DE DICIEMBRE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809"/>
    <w:multiLevelType w:val="hybridMultilevel"/>
    <w:tmpl w:val="92A2F802"/>
    <w:lvl w:ilvl="0" w:tplc="B61A98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AE3EE9"/>
    <w:multiLevelType w:val="multilevel"/>
    <w:tmpl w:val="5BA6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6684286"/>
    <w:multiLevelType w:val="hybridMultilevel"/>
    <w:tmpl w:val="BA2EE6F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04C3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7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E6377"/>
    <w:multiLevelType w:val="multilevel"/>
    <w:tmpl w:val="20F24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2"/>
  </w:num>
  <w:num w:numId="5">
    <w:abstractNumId w:val="24"/>
  </w:num>
  <w:num w:numId="6">
    <w:abstractNumId w:val="16"/>
  </w:num>
  <w:num w:numId="7">
    <w:abstractNumId w:val="38"/>
  </w:num>
  <w:num w:numId="8">
    <w:abstractNumId w:val="17"/>
  </w:num>
  <w:num w:numId="9">
    <w:abstractNumId w:val="26"/>
  </w:num>
  <w:num w:numId="10">
    <w:abstractNumId w:val="14"/>
  </w:num>
  <w:num w:numId="11">
    <w:abstractNumId w:val="15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35"/>
  </w:num>
  <w:num w:numId="17">
    <w:abstractNumId w:val="34"/>
  </w:num>
  <w:num w:numId="18">
    <w:abstractNumId w:val="30"/>
  </w:num>
  <w:num w:numId="19">
    <w:abstractNumId w:val="28"/>
  </w:num>
  <w:num w:numId="20">
    <w:abstractNumId w:val="20"/>
  </w:num>
  <w:num w:numId="21">
    <w:abstractNumId w:val="8"/>
  </w:num>
  <w:num w:numId="22">
    <w:abstractNumId w:val="5"/>
  </w:num>
  <w:num w:numId="23">
    <w:abstractNumId w:val="31"/>
  </w:num>
  <w:num w:numId="24">
    <w:abstractNumId w:val="18"/>
  </w:num>
  <w:num w:numId="25">
    <w:abstractNumId w:val="11"/>
  </w:num>
  <w:num w:numId="26">
    <w:abstractNumId w:val="36"/>
  </w:num>
  <w:num w:numId="27">
    <w:abstractNumId w:val="37"/>
  </w:num>
  <w:num w:numId="28">
    <w:abstractNumId w:val="3"/>
  </w:num>
  <w:num w:numId="29">
    <w:abstractNumId w:val="27"/>
  </w:num>
  <w:num w:numId="30">
    <w:abstractNumId w:val="19"/>
  </w:num>
  <w:num w:numId="31">
    <w:abstractNumId w:val="10"/>
  </w:num>
  <w:num w:numId="32">
    <w:abstractNumId w:val="21"/>
  </w:num>
  <w:num w:numId="33">
    <w:abstractNumId w:val="0"/>
  </w:num>
  <w:num w:numId="34">
    <w:abstractNumId w:val="39"/>
  </w:num>
  <w:num w:numId="35">
    <w:abstractNumId w:val="7"/>
  </w:num>
  <w:num w:numId="36">
    <w:abstractNumId w:val="12"/>
  </w:num>
  <w:num w:numId="37">
    <w:abstractNumId w:val="25"/>
  </w:num>
  <w:num w:numId="38">
    <w:abstractNumId w:val="2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021F3"/>
    <w:rsid w:val="00011AFF"/>
    <w:rsid w:val="00011DAC"/>
    <w:rsid w:val="00012C71"/>
    <w:rsid w:val="00012FC6"/>
    <w:rsid w:val="00017030"/>
    <w:rsid w:val="000201AB"/>
    <w:rsid w:val="0002116B"/>
    <w:rsid w:val="000212D2"/>
    <w:rsid w:val="00026F74"/>
    <w:rsid w:val="000311B9"/>
    <w:rsid w:val="00034A07"/>
    <w:rsid w:val="00035DBD"/>
    <w:rsid w:val="00036D91"/>
    <w:rsid w:val="00037376"/>
    <w:rsid w:val="00037FF7"/>
    <w:rsid w:val="00042AFB"/>
    <w:rsid w:val="00047A48"/>
    <w:rsid w:val="00047F71"/>
    <w:rsid w:val="00051384"/>
    <w:rsid w:val="000526E7"/>
    <w:rsid w:val="00052DC4"/>
    <w:rsid w:val="00053178"/>
    <w:rsid w:val="00053225"/>
    <w:rsid w:val="00057C2B"/>
    <w:rsid w:val="0006241C"/>
    <w:rsid w:val="00065522"/>
    <w:rsid w:val="00072DF0"/>
    <w:rsid w:val="000818E3"/>
    <w:rsid w:val="0008796A"/>
    <w:rsid w:val="00090D8F"/>
    <w:rsid w:val="00092E1A"/>
    <w:rsid w:val="00095A72"/>
    <w:rsid w:val="000A0C94"/>
    <w:rsid w:val="000A2012"/>
    <w:rsid w:val="000A20DE"/>
    <w:rsid w:val="000A34F4"/>
    <w:rsid w:val="000A58B7"/>
    <w:rsid w:val="000A6332"/>
    <w:rsid w:val="000B39DF"/>
    <w:rsid w:val="000B5661"/>
    <w:rsid w:val="000B7279"/>
    <w:rsid w:val="000C28FB"/>
    <w:rsid w:val="000C6E5C"/>
    <w:rsid w:val="000D4846"/>
    <w:rsid w:val="000D569A"/>
    <w:rsid w:val="000D5E03"/>
    <w:rsid w:val="000D5E2B"/>
    <w:rsid w:val="000D664D"/>
    <w:rsid w:val="000D7689"/>
    <w:rsid w:val="000E0711"/>
    <w:rsid w:val="000E3614"/>
    <w:rsid w:val="000E4CC7"/>
    <w:rsid w:val="000E4D1A"/>
    <w:rsid w:val="000E6246"/>
    <w:rsid w:val="000F100C"/>
    <w:rsid w:val="000F183F"/>
    <w:rsid w:val="000F250E"/>
    <w:rsid w:val="000F3DC8"/>
    <w:rsid w:val="000F659F"/>
    <w:rsid w:val="000F65BC"/>
    <w:rsid w:val="000F6A5B"/>
    <w:rsid w:val="000F718F"/>
    <w:rsid w:val="000F77CA"/>
    <w:rsid w:val="00100EE8"/>
    <w:rsid w:val="00101814"/>
    <w:rsid w:val="0010272D"/>
    <w:rsid w:val="0011281D"/>
    <w:rsid w:val="001137C7"/>
    <w:rsid w:val="00114545"/>
    <w:rsid w:val="00122DB3"/>
    <w:rsid w:val="001266F8"/>
    <w:rsid w:val="001278B9"/>
    <w:rsid w:val="00127B87"/>
    <w:rsid w:val="00131066"/>
    <w:rsid w:val="0013757C"/>
    <w:rsid w:val="001411A3"/>
    <w:rsid w:val="00141B0A"/>
    <w:rsid w:val="00142052"/>
    <w:rsid w:val="00144B1E"/>
    <w:rsid w:val="0015228C"/>
    <w:rsid w:val="00160A0B"/>
    <w:rsid w:val="00161727"/>
    <w:rsid w:val="00162439"/>
    <w:rsid w:val="00162C76"/>
    <w:rsid w:val="00165F09"/>
    <w:rsid w:val="00166CD2"/>
    <w:rsid w:val="00171427"/>
    <w:rsid w:val="0017274E"/>
    <w:rsid w:val="00174210"/>
    <w:rsid w:val="001743CC"/>
    <w:rsid w:val="00177BDF"/>
    <w:rsid w:val="00180BE7"/>
    <w:rsid w:val="0018190D"/>
    <w:rsid w:val="00183695"/>
    <w:rsid w:val="00185FAA"/>
    <w:rsid w:val="00187892"/>
    <w:rsid w:val="00190C5D"/>
    <w:rsid w:val="0019207D"/>
    <w:rsid w:val="001922E0"/>
    <w:rsid w:val="00195E49"/>
    <w:rsid w:val="00197059"/>
    <w:rsid w:val="001A1A94"/>
    <w:rsid w:val="001A4345"/>
    <w:rsid w:val="001A4EB8"/>
    <w:rsid w:val="001A53AB"/>
    <w:rsid w:val="001A62D3"/>
    <w:rsid w:val="001B008F"/>
    <w:rsid w:val="001B3877"/>
    <w:rsid w:val="001C0EED"/>
    <w:rsid w:val="001C17B1"/>
    <w:rsid w:val="001C51AE"/>
    <w:rsid w:val="001D0B3D"/>
    <w:rsid w:val="001D1119"/>
    <w:rsid w:val="001D5BA0"/>
    <w:rsid w:val="001D5F87"/>
    <w:rsid w:val="001E1320"/>
    <w:rsid w:val="001F3BE6"/>
    <w:rsid w:val="001F7973"/>
    <w:rsid w:val="00201E5D"/>
    <w:rsid w:val="002027EC"/>
    <w:rsid w:val="002045CA"/>
    <w:rsid w:val="002051CE"/>
    <w:rsid w:val="00213B7D"/>
    <w:rsid w:val="00215882"/>
    <w:rsid w:val="00216873"/>
    <w:rsid w:val="00221CD1"/>
    <w:rsid w:val="00223BA6"/>
    <w:rsid w:val="00225F8D"/>
    <w:rsid w:val="002319EC"/>
    <w:rsid w:val="00231FF9"/>
    <w:rsid w:val="002325E8"/>
    <w:rsid w:val="00234240"/>
    <w:rsid w:val="002414BB"/>
    <w:rsid w:val="00241B07"/>
    <w:rsid w:val="002475B6"/>
    <w:rsid w:val="0024773B"/>
    <w:rsid w:val="0025074D"/>
    <w:rsid w:val="00261B22"/>
    <w:rsid w:val="0026779F"/>
    <w:rsid w:val="00267F32"/>
    <w:rsid w:val="00270887"/>
    <w:rsid w:val="00276CC0"/>
    <w:rsid w:val="002777D0"/>
    <w:rsid w:val="0027799D"/>
    <w:rsid w:val="00280534"/>
    <w:rsid w:val="00280F18"/>
    <w:rsid w:val="00281A0F"/>
    <w:rsid w:val="00283B1D"/>
    <w:rsid w:val="00285DB9"/>
    <w:rsid w:val="00290121"/>
    <w:rsid w:val="00290301"/>
    <w:rsid w:val="00292B3C"/>
    <w:rsid w:val="002A31F1"/>
    <w:rsid w:val="002A64B0"/>
    <w:rsid w:val="002A7577"/>
    <w:rsid w:val="002B0830"/>
    <w:rsid w:val="002B1A69"/>
    <w:rsid w:val="002B3147"/>
    <w:rsid w:val="002B4182"/>
    <w:rsid w:val="002B7B66"/>
    <w:rsid w:val="002C060C"/>
    <w:rsid w:val="002C0E31"/>
    <w:rsid w:val="002C1A35"/>
    <w:rsid w:val="002C4084"/>
    <w:rsid w:val="002C5DB8"/>
    <w:rsid w:val="002D1D3A"/>
    <w:rsid w:val="002D38EF"/>
    <w:rsid w:val="002D74F4"/>
    <w:rsid w:val="002E0884"/>
    <w:rsid w:val="002E2974"/>
    <w:rsid w:val="002E6A83"/>
    <w:rsid w:val="002F3776"/>
    <w:rsid w:val="002F5AB4"/>
    <w:rsid w:val="0030739E"/>
    <w:rsid w:val="00317007"/>
    <w:rsid w:val="003170F1"/>
    <w:rsid w:val="0032256A"/>
    <w:rsid w:val="003226AA"/>
    <w:rsid w:val="00326DBA"/>
    <w:rsid w:val="00330929"/>
    <w:rsid w:val="00333A6B"/>
    <w:rsid w:val="003417B3"/>
    <w:rsid w:val="00343CAA"/>
    <w:rsid w:val="00351D6B"/>
    <w:rsid w:val="00352BB1"/>
    <w:rsid w:val="003550F2"/>
    <w:rsid w:val="00355412"/>
    <w:rsid w:val="0035561D"/>
    <w:rsid w:val="00355D2B"/>
    <w:rsid w:val="00356989"/>
    <w:rsid w:val="00357772"/>
    <w:rsid w:val="00360B71"/>
    <w:rsid w:val="00360F54"/>
    <w:rsid w:val="00362EA8"/>
    <w:rsid w:val="003636A9"/>
    <w:rsid w:val="00366F4F"/>
    <w:rsid w:val="00367032"/>
    <w:rsid w:val="00370345"/>
    <w:rsid w:val="0037787B"/>
    <w:rsid w:val="00377C29"/>
    <w:rsid w:val="00381A7F"/>
    <w:rsid w:val="003824DF"/>
    <w:rsid w:val="00397E40"/>
    <w:rsid w:val="003A13C6"/>
    <w:rsid w:val="003A4CD5"/>
    <w:rsid w:val="003B076D"/>
    <w:rsid w:val="003B0D7D"/>
    <w:rsid w:val="003B17D5"/>
    <w:rsid w:val="003B304E"/>
    <w:rsid w:val="003C0543"/>
    <w:rsid w:val="003C5672"/>
    <w:rsid w:val="003C5FB9"/>
    <w:rsid w:val="003C7951"/>
    <w:rsid w:val="003D18FB"/>
    <w:rsid w:val="003D338B"/>
    <w:rsid w:val="003D7F6E"/>
    <w:rsid w:val="003E1C96"/>
    <w:rsid w:val="003E24A0"/>
    <w:rsid w:val="003E3C07"/>
    <w:rsid w:val="003E4975"/>
    <w:rsid w:val="003E66B3"/>
    <w:rsid w:val="003F04C2"/>
    <w:rsid w:val="003F0702"/>
    <w:rsid w:val="003F114D"/>
    <w:rsid w:val="003F18B4"/>
    <w:rsid w:val="003F4B33"/>
    <w:rsid w:val="003F6DA9"/>
    <w:rsid w:val="004003BF"/>
    <w:rsid w:val="00401928"/>
    <w:rsid w:val="00403A0A"/>
    <w:rsid w:val="004044B7"/>
    <w:rsid w:val="0040476F"/>
    <w:rsid w:val="0041248C"/>
    <w:rsid w:val="00412829"/>
    <w:rsid w:val="00415A48"/>
    <w:rsid w:val="00423855"/>
    <w:rsid w:val="0043239E"/>
    <w:rsid w:val="0043463F"/>
    <w:rsid w:val="004376F0"/>
    <w:rsid w:val="00443EAA"/>
    <w:rsid w:val="00450B91"/>
    <w:rsid w:val="00451A7E"/>
    <w:rsid w:val="0045338F"/>
    <w:rsid w:val="00453E52"/>
    <w:rsid w:val="004618F2"/>
    <w:rsid w:val="0046364B"/>
    <w:rsid w:val="00463731"/>
    <w:rsid w:val="00465DB7"/>
    <w:rsid w:val="004706AC"/>
    <w:rsid w:val="00474450"/>
    <w:rsid w:val="00477D69"/>
    <w:rsid w:val="00477FBA"/>
    <w:rsid w:val="00481323"/>
    <w:rsid w:val="004814CC"/>
    <w:rsid w:val="00483855"/>
    <w:rsid w:val="00485C43"/>
    <w:rsid w:val="0048624A"/>
    <w:rsid w:val="004914F5"/>
    <w:rsid w:val="004953F2"/>
    <w:rsid w:val="00496819"/>
    <w:rsid w:val="004A3229"/>
    <w:rsid w:val="004A7FD4"/>
    <w:rsid w:val="004C0EF9"/>
    <w:rsid w:val="004C2CD4"/>
    <w:rsid w:val="004C30FE"/>
    <w:rsid w:val="004C3534"/>
    <w:rsid w:val="004C73C3"/>
    <w:rsid w:val="004C789F"/>
    <w:rsid w:val="004C7CF2"/>
    <w:rsid w:val="004D3D8F"/>
    <w:rsid w:val="004E76C5"/>
    <w:rsid w:val="004F372D"/>
    <w:rsid w:val="004F4789"/>
    <w:rsid w:val="00502C02"/>
    <w:rsid w:val="00506006"/>
    <w:rsid w:val="00507F9A"/>
    <w:rsid w:val="00511459"/>
    <w:rsid w:val="00514030"/>
    <w:rsid w:val="0052054B"/>
    <w:rsid w:val="00524979"/>
    <w:rsid w:val="00525EE8"/>
    <w:rsid w:val="00526E2A"/>
    <w:rsid w:val="00527E7D"/>
    <w:rsid w:val="005370CB"/>
    <w:rsid w:val="00541C1A"/>
    <w:rsid w:val="00543C11"/>
    <w:rsid w:val="005522A6"/>
    <w:rsid w:val="0055669E"/>
    <w:rsid w:val="00561AAE"/>
    <w:rsid w:val="00564EAC"/>
    <w:rsid w:val="0056773C"/>
    <w:rsid w:val="00570C1F"/>
    <w:rsid w:val="0057285C"/>
    <w:rsid w:val="00572EC2"/>
    <w:rsid w:val="00573DF2"/>
    <w:rsid w:val="00574408"/>
    <w:rsid w:val="00576783"/>
    <w:rsid w:val="005769C5"/>
    <w:rsid w:val="00576D98"/>
    <w:rsid w:val="005815BC"/>
    <w:rsid w:val="005815E6"/>
    <w:rsid w:val="00585DE2"/>
    <w:rsid w:val="00590084"/>
    <w:rsid w:val="00590503"/>
    <w:rsid w:val="00591908"/>
    <w:rsid w:val="0059286C"/>
    <w:rsid w:val="00592FD2"/>
    <w:rsid w:val="00597BB9"/>
    <w:rsid w:val="005A1529"/>
    <w:rsid w:val="005A33BD"/>
    <w:rsid w:val="005A3E39"/>
    <w:rsid w:val="005A41FC"/>
    <w:rsid w:val="005A481E"/>
    <w:rsid w:val="005A7C95"/>
    <w:rsid w:val="005B4D57"/>
    <w:rsid w:val="005B7E84"/>
    <w:rsid w:val="005C6F92"/>
    <w:rsid w:val="005D0A14"/>
    <w:rsid w:val="005D3C9C"/>
    <w:rsid w:val="005D59A2"/>
    <w:rsid w:val="005D6EC6"/>
    <w:rsid w:val="005D72E6"/>
    <w:rsid w:val="005E06E7"/>
    <w:rsid w:val="005E337A"/>
    <w:rsid w:val="005E4304"/>
    <w:rsid w:val="005F1D67"/>
    <w:rsid w:val="005F5883"/>
    <w:rsid w:val="0060151A"/>
    <w:rsid w:val="006022BA"/>
    <w:rsid w:val="00602DA5"/>
    <w:rsid w:val="0060362C"/>
    <w:rsid w:val="00603F73"/>
    <w:rsid w:val="00610E06"/>
    <w:rsid w:val="00612507"/>
    <w:rsid w:val="00612C91"/>
    <w:rsid w:val="00612D2B"/>
    <w:rsid w:val="00616577"/>
    <w:rsid w:val="00621515"/>
    <w:rsid w:val="00621DF5"/>
    <w:rsid w:val="00623D21"/>
    <w:rsid w:val="00625461"/>
    <w:rsid w:val="006262E5"/>
    <w:rsid w:val="00626E93"/>
    <w:rsid w:val="00630E1F"/>
    <w:rsid w:val="00631716"/>
    <w:rsid w:val="00631810"/>
    <w:rsid w:val="006335A2"/>
    <w:rsid w:val="00635592"/>
    <w:rsid w:val="00635B61"/>
    <w:rsid w:val="00637D1C"/>
    <w:rsid w:val="00642F09"/>
    <w:rsid w:val="00650DE1"/>
    <w:rsid w:val="00653516"/>
    <w:rsid w:val="00654EF3"/>
    <w:rsid w:val="0065535B"/>
    <w:rsid w:val="0065610F"/>
    <w:rsid w:val="006578A8"/>
    <w:rsid w:val="00660030"/>
    <w:rsid w:val="00663B60"/>
    <w:rsid w:val="00667ED3"/>
    <w:rsid w:val="00670FA9"/>
    <w:rsid w:val="00671EDB"/>
    <w:rsid w:val="00676CC6"/>
    <w:rsid w:val="0068190C"/>
    <w:rsid w:val="00682F5C"/>
    <w:rsid w:val="00683761"/>
    <w:rsid w:val="00684731"/>
    <w:rsid w:val="00685458"/>
    <w:rsid w:val="00685EC8"/>
    <w:rsid w:val="00687E2E"/>
    <w:rsid w:val="0069027D"/>
    <w:rsid w:val="00691A74"/>
    <w:rsid w:val="00691BA5"/>
    <w:rsid w:val="006A030A"/>
    <w:rsid w:val="006A0588"/>
    <w:rsid w:val="006A6EDA"/>
    <w:rsid w:val="006A7B91"/>
    <w:rsid w:val="006B17C0"/>
    <w:rsid w:val="006C3E6D"/>
    <w:rsid w:val="006C6D30"/>
    <w:rsid w:val="006C7C70"/>
    <w:rsid w:val="006D0028"/>
    <w:rsid w:val="006D0A9F"/>
    <w:rsid w:val="006E2440"/>
    <w:rsid w:val="006E2ECC"/>
    <w:rsid w:val="006E3852"/>
    <w:rsid w:val="006E6760"/>
    <w:rsid w:val="006E77D1"/>
    <w:rsid w:val="006F2FBA"/>
    <w:rsid w:val="0070024D"/>
    <w:rsid w:val="0070241E"/>
    <w:rsid w:val="00703820"/>
    <w:rsid w:val="0070439F"/>
    <w:rsid w:val="00712DCA"/>
    <w:rsid w:val="007148D9"/>
    <w:rsid w:val="0071696E"/>
    <w:rsid w:val="00717B55"/>
    <w:rsid w:val="00720453"/>
    <w:rsid w:val="00721291"/>
    <w:rsid w:val="00722D19"/>
    <w:rsid w:val="00723D30"/>
    <w:rsid w:val="00724840"/>
    <w:rsid w:val="00727F75"/>
    <w:rsid w:val="007370F8"/>
    <w:rsid w:val="00737B89"/>
    <w:rsid w:val="00741A9D"/>
    <w:rsid w:val="00742790"/>
    <w:rsid w:val="00743408"/>
    <w:rsid w:val="00743BAF"/>
    <w:rsid w:val="00751CAA"/>
    <w:rsid w:val="007544ED"/>
    <w:rsid w:val="007635DF"/>
    <w:rsid w:val="00771200"/>
    <w:rsid w:val="00771241"/>
    <w:rsid w:val="00775E4A"/>
    <w:rsid w:val="00780E78"/>
    <w:rsid w:val="00783DFF"/>
    <w:rsid w:val="00783FEB"/>
    <w:rsid w:val="0078687B"/>
    <w:rsid w:val="00792FF8"/>
    <w:rsid w:val="00794927"/>
    <w:rsid w:val="0079579F"/>
    <w:rsid w:val="007A0292"/>
    <w:rsid w:val="007A04E2"/>
    <w:rsid w:val="007A20CF"/>
    <w:rsid w:val="007A586A"/>
    <w:rsid w:val="007A60A5"/>
    <w:rsid w:val="007B0194"/>
    <w:rsid w:val="007B1204"/>
    <w:rsid w:val="007B1210"/>
    <w:rsid w:val="007B2254"/>
    <w:rsid w:val="007B43CB"/>
    <w:rsid w:val="007B4862"/>
    <w:rsid w:val="007B6724"/>
    <w:rsid w:val="007D37CF"/>
    <w:rsid w:val="007D66F2"/>
    <w:rsid w:val="007D670D"/>
    <w:rsid w:val="007E258C"/>
    <w:rsid w:val="007E36DC"/>
    <w:rsid w:val="007F5B1E"/>
    <w:rsid w:val="007F5F1F"/>
    <w:rsid w:val="007F6567"/>
    <w:rsid w:val="007F6C19"/>
    <w:rsid w:val="007F7600"/>
    <w:rsid w:val="00801CB9"/>
    <w:rsid w:val="00804E79"/>
    <w:rsid w:val="00805126"/>
    <w:rsid w:val="00805263"/>
    <w:rsid w:val="0081363E"/>
    <w:rsid w:val="008137B3"/>
    <w:rsid w:val="00830042"/>
    <w:rsid w:val="0083082D"/>
    <w:rsid w:val="00830D15"/>
    <w:rsid w:val="00835AA0"/>
    <w:rsid w:val="008366AA"/>
    <w:rsid w:val="00850F9F"/>
    <w:rsid w:val="00851283"/>
    <w:rsid w:val="00853CC0"/>
    <w:rsid w:val="00861C9D"/>
    <w:rsid w:val="00863521"/>
    <w:rsid w:val="008667CF"/>
    <w:rsid w:val="0086742C"/>
    <w:rsid w:val="00867FB2"/>
    <w:rsid w:val="008700C3"/>
    <w:rsid w:val="008728F3"/>
    <w:rsid w:val="00872BFC"/>
    <w:rsid w:val="00877DF4"/>
    <w:rsid w:val="00880629"/>
    <w:rsid w:val="00880C26"/>
    <w:rsid w:val="00881DEB"/>
    <w:rsid w:val="00884CA4"/>
    <w:rsid w:val="0088513B"/>
    <w:rsid w:val="00885B33"/>
    <w:rsid w:val="00886404"/>
    <w:rsid w:val="008A4054"/>
    <w:rsid w:val="008B60A1"/>
    <w:rsid w:val="008B711F"/>
    <w:rsid w:val="008C11F4"/>
    <w:rsid w:val="008C2424"/>
    <w:rsid w:val="008C2819"/>
    <w:rsid w:val="008C2C9F"/>
    <w:rsid w:val="008C5C88"/>
    <w:rsid w:val="008C5F87"/>
    <w:rsid w:val="008C7AF4"/>
    <w:rsid w:val="008D09EB"/>
    <w:rsid w:val="008D302C"/>
    <w:rsid w:val="008D3286"/>
    <w:rsid w:val="008D43D8"/>
    <w:rsid w:val="008D6AAA"/>
    <w:rsid w:val="008D786D"/>
    <w:rsid w:val="008E2016"/>
    <w:rsid w:val="008F1A52"/>
    <w:rsid w:val="008F39B3"/>
    <w:rsid w:val="008F463D"/>
    <w:rsid w:val="009029C2"/>
    <w:rsid w:val="0090615D"/>
    <w:rsid w:val="009062BD"/>
    <w:rsid w:val="00907BD3"/>
    <w:rsid w:val="00911657"/>
    <w:rsid w:val="0091210B"/>
    <w:rsid w:val="009140DC"/>
    <w:rsid w:val="0092488F"/>
    <w:rsid w:val="0092649C"/>
    <w:rsid w:val="00927DEF"/>
    <w:rsid w:val="00931D93"/>
    <w:rsid w:val="00940873"/>
    <w:rsid w:val="00942597"/>
    <w:rsid w:val="00947C5D"/>
    <w:rsid w:val="00952243"/>
    <w:rsid w:val="0095551F"/>
    <w:rsid w:val="0096557C"/>
    <w:rsid w:val="009706DA"/>
    <w:rsid w:val="009715DE"/>
    <w:rsid w:val="009838FA"/>
    <w:rsid w:val="009840F3"/>
    <w:rsid w:val="0098411C"/>
    <w:rsid w:val="0098477D"/>
    <w:rsid w:val="0098598E"/>
    <w:rsid w:val="00985F1B"/>
    <w:rsid w:val="009862FB"/>
    <w:rsid w:val="009900D1"/>
    <w:rsid w:val="00991C8F"/>
    <w:rsid w:val="00993D16"/>
    <w:rsid w:val="00996A21"/>
    <w:rsid w:val="009A3D57"/>
    <w:rsid w:val="009A7A1B"/>
    <w:rsid w:val="009B0841"/>
    <w:rsid w:val="009B56C1"/>
    <w:rsid w:val="009C13B4"/>
    <w:rsid w:val="009C27CB"/>
    <w:rsid w:val="009C727B"/>
    <w:rsid w:val="009D2130"/>
    <w:rsid w:val="009D7221"/>
    <w:rsid w:val="009E54C4"/>
    <w:rsid w:val="009F279D"/>
    <w:rsid w:val="009F4002"/>
    <w:rsid w:val="009F4490"/>
    <w:rsid w:val="009F6791"/>
    <w:rsid w:val="00A0003A"/>
    <w:rsid w:val="00A03EFA"/>
    <w:rsid w:val="00A04023"/>
    <w:rsid w:val="00A060A9"/>
    <w:rsid w:val="00A07FE4"/>
    <w:rsid w:val="00A1526C"/>
    <w:rsid w:val="00A153C3"/>
    <w:rsid w:val="00A22052"/>
    <w:rsid w:val="00A23585"/>
    <w:rsid w:val="00A302CA"/>
    <w:rsid w:val="00A3361D"/>
    <w:rsid w:val="00A34378"/>
    <w:rsid w:val="00A34C66"/>
    <w:rsid w:val="00A355BB"/>
    <w:rsid w:val="00A4173A"/>
    <w:rsid w:val="00A428D7"/>
    <w:rsid w:val="00A462A4"/>
    <w:rsid w:val="00A47FBB"/>
    <w:rsid w:val="00A50293"/>
    <w:rsid w:val="00A50AF1"/>
    <w:rsid w:val="00A51D8E"/>
    <w:rsid w:val="00A523D7"/>
    <w:rsid w:val="00A54D42"/>
    <w:rsid w:val="00A565A4"/>
    <w:rsid w:val="00A6171E"/>
    <w:rsid w:val="00A61FCD"/>
    <w:rsid w:val="00A65BEE"/>
    <w:rsid w:val="00A6729E"/>
    <w:rsid w:val="00A70CB8"/>
    <w:rsid w:val="00A81F18"/>
    <w:rsid w:val="00A83290"/>
    <w:rsid w:val="00A84451"/>
    <w:rsid w:val="00A85F8D"/>
    <w:rsid w:val="00A8768C"/>
    <w:rsid w:val="00A9055E"/>
    <w:rsid w:val="00A921B6"/>
    <w:rsid w:val="00A923CF"/>
    <w:rsid w:val="00A9240D"/>
    <w:rsid w:val="00A93A2B"/>
    <w:rsid w:val="00AA4219"/>
    <w:rsid w:val="00AB167B"/>
    <w:rsid w:val="00AB5FB6"/>
    <w:rsid w:val="00AC0B70"/>
    <w:rsid w:val="00AC0C33"/>
    <w:rsid w:val="00AC2540"/>
    <w:rsid w:val="00AC583B"/>
    <w:rsid w:val="00AC5AB7"/>
    <w:rsid w:val="00AD1300"/>
    <w:rsid w:val="00AD1671"/>
    <w:rsid w:val="00AE3912"/>
    <w:rsid w:val="00AE7BB7"/>
    <w:rsid w:val="00AF0CDE"/>
    <w:rsid w:val="00AF1D2C"/>
    <w:rsid w:val="00AF30F7"/>
    <w:rsid w:val="00AF5072"/>
    <w:rsid w:val="00AF638A"/>
    <w:rsid w:val="00AF7310"/>
    <w:rsid w:val="00AF77BE"/>
    <w:rsid w:val="00B00136"/>
    <w:rsid w:val="00B0051F"/>
    <w:rsid w:val="00B007B3"/>
    <w:rsid w:val="00B044E3"/>
    <w:rsid w:val="00B066FF"/>
    <w:rsid w:val="00B1097E"/>
    <w:rsid w:val="00B1139B"/>
    <w:rsid w:val="00B205BB"/>
    <w:rsid w:val="00B20987"/>
    <w:rsid w:val="00B22050"/>
    <w:rsid w:val="00B27935"/>
    <w:rsid w:val="00B4384F"/>
    <w:rsid w:val="00B43E6D"/>
    <w:rsid w:val="00B54626"/>
    <w:rsid w:val="00B562EF"/>
    <w:rsid w:val="00B66E45"/>
    <w:rsid w:val="00B72E7C"/>
    <w:rsid w:val="00B7483E"/>
    <w:rsid w:val="00B77D1B"/>
    <w:rsid w:val="00B81AEF"/>
    <w:rsid w:val="00B92127"/>
    <w:rsid w:val="00B95447"/>
    <w:rsid w:val="00B96DA2"/>
    <w:rsid w:val="00BA19C0"/>
    <w:rsid w:val="00BA1A42"/>
    <w:rsid w:val="00BA29A4"/>
    <w:rsid w:val="00BA4C90"/>
    <w:rsid w:val="00BA5BC7"/>
    <w:rsid w:val="00BA7954"/>
    <w:rsid w:val="00BB5B0F"/>
    <w:rsid w:val="00BC11EC"/>
    <w:rsid w:val="00BC2C69"/>
    <w:rsid w:val="00BC54FB"/>
    <w:rsid w:val="00BC55A5"/>
    <w:rsid w:val="00BC64A9"/>
    <w:rsid w:val="00BC6CC5"/>
    <w:rsid w:val="00BC7D18"/>
    <w:rsid w:val="00BD08CB"/>
    <w:rsid w:val="00BD2CDB"/>
    <w:rsid w:val="00BD7B43"/>
    <w:rsid w:val="00BD7CCB"/>
    <w:rsid w:val="00BE7833"/>
    <w:rsid w:val="00BF333E"/>
    <w:rsid w:val="00BF5ED5"/>
    <w:rsid w:val="00C0365C"/>
    <w:rsid w:val="00C053DC"/>
    <w:rsid w:val="00C0551E"/>
    <w:rsid w:val="00C12566"/>
    <w:rsid w:val="00C13371"/>
    <w:rsid w:val="00C27C44"/>
    <w:rsid w:val="00C369C6"/>
    <w:rsid w:val="00C36C5E"/>
    <w:rsid w:val="00C414B6"/>
    <w:rsid w:val="00C439F1"/>
    <w:rsid w:val="00C449D8"/>
    <w:rsid w:val="00C46786"/>
    <w:rsid w:val="00C47AAA"/>
    <w:rsid w:val="00C5046F"/>
    <w:rsid w:val="00C51B8A"/>
    <w:rsid w:val="00C54893"/>
    <w:rsid w:val="00C601EA"/>
    <w:rsid w:val="00C710F2"/>
    <w:rsid w:val="00C71211"/>
    <w:rsid w:val="00C726B0"/>
    <w:rsid w:val="00C8038C"/>
    <w:rsid w:val="00C84F98"/>
    <w:rsid w:val="00C90086"/>
    <w:rsid w:val="00C9133A"/>
    <w:rsid w:val="00C961AE"/>
    <w:rsid w:val="00C9778E"/>
    <w:rsid w:val="00C97D30"/>
    <w:rsid w:val="00CA0CB6"/>
    <w:rsid w:val="00CA21E4"/>
    <w:rsid w:val="00CA4EE4"/>
    <w:rsid w:val="00CA7AFB"/>
    <w:rsid w:val="00CB3AF9"/>
    <w:rsid w:val="00CB6ADE"/>
    <w:rsid w:val="00CB7C66"/>
    <w:rsid w:val="00CC0A9E"/>
    <w:rsid w:val="00CC10BB"/>
    <w:rsid w:val="00CC1A94"/>
    <w:rsid w:val="00CC438E"/>
    <w:rsid w:val="00CC4A12"/>
    <w:rsid w:val="00CC5FC0"/>
    <w:rsid w:val="00CD2FB6"/>
    <w:rsid w:val="00CD4B1E"/>
    <w:rsid w:val="00CE09F9"/>
    <w:rsid w:val="00CE13A1"/>
    <w:rsid w:val="00CE7992"/>
    <w:rsid w:val="00CF1638"/>
    <w:rsid w:val="00CF7B0A"/>
    <w:rsid w:val="00D039AB"/>
    <w:rsid w:val="00D1613C"/>
    <w:rsid w:val="00D275D1"/>
    <w:rsid w:val="00D27771"/>
    <w:rsid w:val="00D30A46"/>
    <w:rsid w:val="00D356CE"/>
    <w:rsid w:val="00D36159"/>
    <w:rsid w:val="00D37A6C"/>
    <w:rsid w:val="00D42657"/>
    <w:rsid w:val="00D4333B"/>
    <w:rsid w:val="00D44EE8"/>
    <w:rsid w:val="00D46604"/>
    <w:rsid w:val="00D5462B"/>
    <w:rsid w:val="00D55EE0"/>
    <w:rsid w:val="00D56C8A"/>
    <w:rsid w:val="00D640F3"/>
    <w:rsid w:val="00D71E81"/>
    <w:rsid w:val="00D72366"/>
    <w:rsid w:val="00D80B0E"/>
    <w:rsid w:val="00D829C8"/>
    <w:rsid w:val="00D91F9B"/>
    <w:rsid w:val="00D92E01"/>
    <w:rsid w:val="00D95D2A"/>
    <w:rsid w:val="00DA013D"/>
    <w:rsid w:val="00DA43CE"/>
    <w:rsid w:val="00DA54F3"/>
    <w:rsid w:val="00DA629C"/>
    <w:rsid w:val="00DA65AC"/>
    <w:rsid w:val="00DA7EF9"/>
    <w:rsid w:val="00DB109B"/>
    <w:rsid w:val="00DB381E"/>
    <w:rsid w:val="00DB6693"/>
    <w:rsid w:val="00DC05AA"/>
    <w:rsid w:val="00DC06FE"/>
    <w:rsid w:val="00DC21F4"/>
    <w:rsid w:val="00DC3F19"/>
    <w:rsid w:val="00DC5244"/>
    <w:rsid w:val="00DC6249"/>
    <w:rsid w:val="00DD1DD7"/>
    <w:rsid w:val="00DD6934"/>
    <w:rsid w:val="00DE5203"/>
    <w:rsid w:val="00DE61CA"/>
    <w:rsid w:val="00DE6A16"/>
    <w:rsid w:val="00DE6D1F"/>
    <w:rsid w:val="00DE7CB0"/>
    <w:rsid w:val="00DF0739"/>
    <w:rsid w:val="00DF2778"/>
    <w:rsid w:val="00DF29B8"/>
    <w:rsid w:val="00DF44F3"/>
    <w:rsid w:val="00E0060A"/>
    <w:rsid w:val="00E0084A"/>
    <w:rsid w:val="00E019F4"/>
    <w:rsid w:val="00E02AE0"/>
    <w:rsid w:val="00E049CB"/>
    <w:rsid w:val="00E16F8A"/>
    <w:rsid w:val="00E2187F"/>
    <w:rsid w:val="00E23D6B"/>
    <w:rsid w:val="00E23EC2"/>
    <w:rsid w:val="00E23FFF"/>
    <w:rsid w:val="00E44C98"/>
    <w:rsid w:val="00E4690F"/>
    <w:rsid w:val="00E46BAA"/>
    <w:rsid w:val="00E5156F"/>
    <w:rsid w:val="00E53C5F"/>
    <w:rsid w:val="00E57829"/>
    <w:rsid w:val="00E64F0C"/>
    <w:rsid w:val="00E738F5"/>
    <w:rsid w:val="00E748C9"/>
    <w:rsid w:val="00E74AA7"/>
    <w:rsid w:val="00E75492"/>
    <w:rsid w:val="00E77152"/>
    <w:rsid w:val="00E776DC"/>
    <w:rsid w:val="00E8049C"/>
    <w:rsid w:val="00E81D9D"/>
    <w:rsid w:val="00E87A56"/>
    <w:rsid w:val="00EA1C29"/>
    <w:rsid w:val="00EA6B0B"/>
    <w:rsid w:val="00EB01F4"/>
    <w:rsid w:val="00EB0358"/>
    <w:rsid w:val="00EB33E4"/>
    <w:rsid w:val="00EB38A0"/>
    <w:rsid w:val="00EB4645"/>
    <w:rsid w:val="00EB5888"/>
    <w:rsid w:val="00EC0E71"/>
    <w:rsid w:val="00EC127F"/>
    <w:rsid w:val="00EC3391"/>
    <w:rsid w:val="00EC4F53"/>
    <w:rsid w:val="00EC6906"/>
    <w:rsid w:val="00EC74A0"/>
    <w:rsid w:val="00ED0A4A"/>
    <w:rsid w:val="00ED19D7"/>
    <w:rsid w:val="00ED7258"/>
    <w:rsid w:val="00EE0BD7"/>
    <w:rsid w:val="00EE43F1"/>
    <w:rsid w:val="00EE56F1"/>
    <w:rsid w:val="00EE69BF"/>
    <w:rsid w:val="00EF1DDC"/>
    <w:rsid w:val="00EF6FA7"/>
    <w:rsid w:val="00F0180C"/>
    <w:rsid w:val="00F02F6E"/>
    <w:rsid w:val="00F11D2B"/>
    <w:rsid w:val="00F13E62"/>
    <w:rsid w:val="00F14EFA"/>
    <w:rsid w:val="00F155E6"/>
    <w:rsid w:val="00F16F93"/>
    <w:rsid w:val="00F22566"/>
    <w:rsid w:val="00F231DC"/>
    <w:rsid w:val="00F273AD"/>
    <w:rsid w:val="00F33DA6"/>
    <w:rsid w:val="00F3400F"/>
    <w:rsid w:val="00F43F96"/>
    <w:rsid w:val="00F46D13"/>
    <w:rsid w:val="00F54B7D"/>
    <w:rsid w:val="00F623DC"/>
    <w:rsid w:val="00F67F7F"/>
    <w:rsid w:val="00F74342"/>
    <w:rsid w:val="00F74EC8"/>
    <w:rsid w:val="00F750F7"/>
    <w:rsid w:val="00F845E0"/>
    <w:rsid w:val="00F85347"/>
    <w:rsid w:val="00F90189"/>
    <w:rsid w:val="00F91C8F"/>
    <w:rsid w:val="00F9517B"/>
    <w:rsid w:val="00F95399"/>
    <w:rsid w:val="00F9646A"/>
    <w:rsid w:val="00FA3915"/>
    <w:rsid w:val="00FA4EFB"/>
    <w:rsid w:val="00FA5A7F"/>
    <w:rsid w:val="00FA754C"/>
    <w:rsid w:val="00FB1E4C"/>
    <w:rsid w:val="00FB3731"/>
    <w:rsid w:val="00FB5BD0"/>
    <w:rsid w:val="00FB768D"/>
    <w:rsid w:val="00FC2C45"/>
    <w:rsid w:val="00FC764F"/>
    <w:rsid w:val="00FD0D1C"/>
    <w:rsid w:val="00FD3FFB"/>
    <w:rsid w:val="00FE127F"/>
    <w:rsid w:val="00FE6122"/>
    <w:rsid w:val="00FE664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537D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5386</TotalTime>
  <Pages>13</Pages>
  <Words>3638</Words>
  <Characters>20012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Lizbeth uc</cp:lastModifiedBy>
  <cp:revision>1330</cp:revision>
  <cp:lastPrinted>2020-03-02T18:56:00Z</cp:lastPrinted>
  <dcterms:created xsi:type="dcterms:W3CDTF">2017-01-23T01:15:00Z</dcterms:created>
  <dcterms:modified xsi:type="dcterms:W3CDTF">2020-09-05T00:00:00Z</dcterms:modified>
</cp:coreProperties>
</file>